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105B2">
      <w:pPr>
        <w:spacing w:line="500" w:lineRule="exact"/>
        <w:jc w:val="left"/>
        <w:rPr>
          <w:rFonts w:ascii="楷体_GB2312" w:hAnsi="仿宋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color w:val="000000"/>
          <w:sz w:val="28"/>
          <w:szCs w:val="28"/>
        </w:rPr>
        <w:t>附件3：</w:t>
      </w:r>
    </w:p>
    <w:p w14:paraId="4F0EA4B4">
      <w:pPr>
        <w:spacing w:line="50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永泰县教师进修学校</w:t>
      </w:r>
    </w:p>
    <w:p w14:paraId="3BEE8D34">
      <w:pPr>
        <w:spacing w:line="50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公开调配学科教研员量化实施细则</w:t>
      </w:r>
    </w:p>
    <w:p w14:paraId="49E436FC">
      <w:pPr>
        <w:spacing w:line="460" w:lineRule="exact"/>
      </w:pPr>
    </w:p>
    <w:p w14:paraId="2A26555F">
      <w:pPr>
        <w:spacing w:line="4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根据学科教研员的工作性质与职责，制订本量化实施细则。</w:t>
      </w:r>
    </w:p>
    <w:p w14:paraId="2EAA5AB8">
      <w:pPr>
        <w:spacing w:line="4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达到必备条件的，得基准分60分，以下各项为加分项，最后总分为“基准分+各项加分”的总和。</w:t>
      </w:r>
    </w:p>
    <w:p w14:paraId="058E9F55">
      <w:pPr>
        <w:spacing w:line="4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1.研究生学历2分。</w:t>
      </w:r>
    </w:p>
    <w:p w14:paraId="7F304BC2">
      <w:pPr>
        <w:spacing w:line="4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2.高级职称3分。</w:t>
      </w:r>
    </w:p>
    <w:p w14:paraId="06758E17">
      <w:pPr>
        <w:spacing w:line="4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3.市级骨干教师5分，市级学科带头人7分，省级学科带头人10分。取最高等级一项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赋分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，本项封顶10分。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聘期内有效。</w:t>
      </w:r>
      <w:bookmarkStart w:id="0" w:name="_GoBack"/>
      <w:bookmarkEnd w:id="0"/>
    </w:p>
    <w:p w14:paraId="2FC835BD">
      <w:pPr>
        <w:spacing w:line="4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担任县级学科工作室（或学科中心组）成员、名师工作室成员2分，县级名师工作室领衔名师5分；市级名师工作室成员3分，市级名师工作室领衔名师7分；省级名师工作室成员5分，省级名师工作室领衔名师10分。取最高等级一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赋分，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本项封顶10分。</w:t>
      </w:r>
    </w:p>
    <w:p w14:paraId="615E2911">
      <w:pPr>
        <w:spacing w:line="4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5.本学科教学技能比赛。获县级三、二、一等奖分别得3分、5分、7分；获市级三、二、一等奖分别得5分、7分、10；获省级三、二、一等奖分别得7分、10分、15分。取最高等级一项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赋分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，本项封顶15分。</w:t>
      </w:r>
    </w:p>
    <w:p w14:paraId="5ABC7954">
      <w:pPr>
        <w:spacing w:line="46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近5个学年县级及以上统考学科教学综合成绩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名列全县第3名5分，全县第2名10分，全县第1名15分。取最高等级一次赋分，本项封顶15分。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县教育局基础教育科提供。</w:t>
      </w:r>
    </w:p>
    <w:p w14:paraId="2E5628AA">
      <w:pPr>
        <w:spacing w:line="4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7.县级公开课3分，讲座5分；市级公开课5分，讲座7分；省级公开课7分，讲座10分。取最高等级一项得分，本项封顶10分。</w:t>
      </w:r>
    </w:p>
    <w:p w14:paraId="133EC336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8.CN刊物上公开发表本学科教学论文1篇5分，2篇10分，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本项封顶10分。</w:t>
      </w:r>
    </w:p>
    <w:sectPr>
      <w:headerReference r:id="rId3" w:type="default"/>
      <w:footerReference r:id="rId4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6F29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231080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FE6F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MzNhMGMwNmRhMDUxMjNkY2I4MmVlYzQzNmQ1N2EifQ=="/>
  </w:docVars>
  <w:rsids>
    <w:rsidRoot w:val="009C0CAE"/>
    <w:rsid w:val="000614E4"/>
    <w:rsid w:val="000F1241"/>
    <w:rsid w:val="0014740D"/>
    <w:rsid w:val="001C5D35"/>
    <w:rsid w:val="001F08DE"/>
    <w:rsid w:val="002A53B8"/>
    <w:rsid w:val="009A25D1"/>
    <w:rsid w:val="009C0CAE"/>
    <w:rsid w:val="00E65AB1"/>
    <w:rsid w:val="054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574</Characters>
  <Lines>4</Lines>
  <Paragraphs>1</Paragraphs>
  <TotalTime>19</TotalTime>
  <ScaleCrop>false</ScaleCrop>
  <LinksUpToDate>false</LinksUpToDate>
  <CharactersWithSpaces>574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2024-08-14T04:20:00Z</dcterms:created>
  <dc:creator>Administrator</dc:creator>
  <cp:lastModifiedBy>欧光沐</cp:lastModifiedBy>
  <dcterms:modified xsi:type="dcterms:W3CDTF">2024-08-15T01:24:56Z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EA1CA7EEE14B47C78058D7A240FDC311_12</vt:lpwstr>
  </property>
</Properties>
</file>