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
        <w:ind w:left="299" w:right="418" w:firstLine="0"/>
        <w:jc w:val="center"/>
        <w:outlineLvl w:val="0"/>
        <w:rPr>
          <w:rFonts w:hint="eastAsia" w:ascii="微软雅黑" w:eastAsia="微软雅黑"/>
          <w:b/>
          <w:sz w:val="52"/>
          <w:lang w:val="en-US" w:eastAsia="zh-CN"/>
        </w:rPr>
      </w:pPr>
      <w:bookmarkStart w:id="0" w:name="_Toc21736"/>
      <w:bookmarkStart w:id="1" w:name="_Toc8775"/>
      <w:bookmarkStart w:id="2" w:name="_Toc4773"/>
      <w:bookmarkStart w:id="3" w:name="_Toc11049"/>
      <w:bookmarkStart w:id="4" w:name="_Toc3681"/>
      <w:bookmarkStart w:id="5" w:name="_Toc13846"/>
      <w:bookmarkStart w:id="6" w:name="_Toc3107"/>
      <w:bookmarkStart w:id="7" w:name="_Toc21964"/>
      <w:bookmarkStart w:id="8" w:name="_Toc8166"/>
    </w:p>
    <w:p>
      <w:pPr>
        <w:spacing w:before="1"/>
        <w:ind w:left="299" w:right="418" w:firstLine="0"/>
        <w:jc w:val="center"/>
        <w:outlineLvl w:val="0"/>
        <w:rPr>
          <w:rFonts w:hint="eastAsia" w:ascii="微软雅黑" w:eastAsia="微软雅黑"/>
          <w:b/>
          <w:sz w:val="52"/>
          <w:lang w:val="en-US" w:eastAsia="zh-CN"/>
        </w:rPr>
      </w:pPr>
    </w:p>
    <w:p>
      <w:pPr>
        <w:spacing w:before="1"/>
        <w:ind w:left="299" w:right="418" w:firstLine="0"/>
        <w:jc w:val="center"/>
        <w:outlineLvl w:val="0"/>
        <w:rPr>
          <w:rFonts w:hint="eastAsia" w:ascii="微软雅黑" w:eastAsia="微软雅黑"/>
          <w:b/>
          <w:sz w:val="52"/>
          <w:lang w:val="en-US" w:eastAsia="zh-CN"/>
        </w:rPr>
      </w:pPr>
    </w:p>
    <w:p>
      <w:pPr>
        <w:spacing w:before="1"/>
        <w:ind w:left="299" w:right="418" w:firstLine="0"/>
        <w:jc w:val="center"/>
        <w:outlineLvl w:val="0"/>
        <w:rPr>
          <w:rFonts w:hint="eastAsia" w:ascii="微软雅黑" w:eastAsia="微软雅黑"/>
          <w:b/>
          <w:sz w:val="52"/>
          <w:lang w:val="en-US" w:eastAsia="zh-CN"/>
        </w:rPr>
      </w:pPr>
    </w:p>
    <w:p>
      <w:pPr>
        <w:spacing w:before="1"/>
        <w:ind w:left="299" w:right="418" w:firstLine="0"/>
        <w:jc w:val="center"/>
        <w:outlineLvl w:val="0"/>
        <w:rPr>
          <w:rFonts w:hint="eastAsia" w:ascii="微软雅黑" w:eastAsia="微软雅黑"/>
          <w:b/>
          <w:sz w:val="52"/>
          <w:lang w:val="en-US" w:eastAsia="zh-CN"/>
        </w:rPr>
      </w:pPr>
    </w:p>
    <w:p>
      <w:pPr>
        <w:spacing w:before="1"/>
        <w:ind w:left="299" w:right="418" w:firstLine="0"/>
        <w:jc w:val="center"/>
        <w:outlineLvl w:val="0"/>
        <w:rPr>
          <w:rFonts w:hint="eastAsia" w:ascii="微软雅黑" w:eastAsia="微软雅黑"/>
          <w:b/>
          <w:sz w:val="52"/>
          <w:lang w:val="en-US" w:eastAsia="zh-CN"/>
        </w:rPr>
      </w:pPr>
    </w:p>
    <w:p>
      <w:pPr>
        <w:spacing w:before="1"/>
        <w:ind w:left="299" w:right="418" w:firstLine="0"/>
        <w:jc w:val="center"/>
        <w:outlineLvl w:val="0"/>
        <w:rPr>
          <w:rFonts w:hint="eastAsia" w:ascii="微软雅黑" w:eastAsia="微软雅黑"/>
          <w:b/>
          <w:sz w:val="52"/>
          <w:lang w:val="en-US" w:eastAsia="zh-CN"/>
        </w:rPr>
      </w:pPr>
    </w:p>
    <w:p>
      <w:pPr>
        <w:spacing w:before="1"/>
        <w:ind w:left="299" w:right="418" w:firstLine="0"/>
        <w:jc w:val="center"/>
        <w:outlineLvl w:val="0"/>
        <w:rPr>
          <w:rFonts w:hint="eastAsia" w:ascii="微软雅黑" w:eastAsia="微软雅黑"/>
          <w:b/>
          <w:sz w:val="52"/>
          <w:lang w:val="en-US" w:eastAsia="zh-CN"/>
        </w:rPr>
      </w:pPr>
    </w:p>
    <w:p>
      <w:pPr>
        <w:spacing w:before="1"/>
        <w:ind w:left="299" w:right="418" w:firstLine="0"/>
        <w:jc w:val="center"/>
        <w:outlineLvl w:val="0"/>
        <w:rPr>
          <w:rFonts w:hint="eastAsia" w:ascii="微软雅黑" w:eastAsia="微软雅黑"/>
          <w:b/>
          <w:sz w:val="52"/>
        </w:rPr>
      </w:pPr>
      <w:r>
        <w:rPr>
          <w:rFonts w:hint="eastAsia" w:ascii="微软雅黑" w:eastAsia="微软雅黑"/>
          <w:b/>
          <w:sz w:val="52"/>
          <w:lang w:val="en-US" w:eastAsia="zh-CN"/>
        </w:rPr>
        <w:t>永泰县</w:t>
      </w:r>
      <w:bookmarkEnd w:id="0"/>
      <w:bookmarkEnd w:id="1"/>
      <w:bookmarkEnd w:id="2"/>
      <w:bookmarkEnd w:id="3"/>
      <w:bookmarkEnd w:id="4"/>
      <w:bookmarkStart w:id="9" w:name="_Toc6835"/>
      <w:bookmarkStart w:id="10" w:name="_Toc22773"/>
      <w:bookmarkStart w:id="11" w:name="_Toc11564"/>
      <w:r>
        <w:rPr>
          <w:rFonts w:hint="eastAsia" w:ascii="微软雅黑" w:eastAsia="微软雅黑"/>
          <w:b/>
          <w:sz w:val="52"/>
          <w:lang w:val="en-US" w:eastAsia="zh-CN"/>
        </w:rPr>
        <w:t>危险化学品事故应急预案</w:t>
      </w:r>
      <w:bookmarkEnd w:id="5"/>
      <w:bookmarkEnd w:id="6"/>
      <w:bookmarkEnd w:id="7"/>
      <w:bookmarkEnd w:id="8"/>
      <w:bookmarkEnd w:id="9"/>
      <w:bookmarkEnd w:id="10"/>
      <w:bookmarkEnd w:id="11"/>
    </w:p>
    <w:p>
      <w:pPr>
        <w:bidi w:val="0"/>
        <w:jc w:val="both"/>
        <w:rPr>
          <w:rFonts w:hint="eastAsia"/>
          <w:b/>
          <w:bCs/>
          <w:sz w:val="40"/>
          <w:szCs w:val="40"/>
          <w:lang w:val="en-US" w:eastAsia="zh-CN"/>
        </w:rPr>
      </w:pPr>
    </w:p>
    <w:p>
      <w:pPr>
        <w:pStyle w:val="4"/>
        <w:rPr>
          <w:rFonts w:hint="eastAsia"/>
          <w:b/>
          <w:bCs/>
          <w:sz w:val="40"/>
          <w:szCs w:val="40"/>
          <w:lang w:val="en-US" w:eastAsia="zh-CN"/>
        </w:rPr>
      </w:pPr>
    </w:p>
    <w:p>
      <w:pPr>
        <w:pStyle w:val="4"/>
        <w:rPr>
          <w:rFonts w:hint="eastAsia"/>
          <w:b/>
          <w:bCs/>
          <w:sz w:val="40"/>
          <w:szCs w:val="40"/>
          <w:lang w:val="en-US" w:eastAsia="zh-CN"/>
        </w:rPr>
      </w:pPr>
    </w:p>
    <w:p>
      <w:pPr>
        <w:pStyle w:val="4"/>
        <w:rPr>
          <w:rFonts w:hint="eastAsia"/>
          <w:b/>
          <w:bCs/>
          <w:sz w:val="40"/>
          <w:szCs w:val="40"/>
          <w:lang w:val="en-US" w:eastAsia="zh-CN"/>
        </w:rPr>
      </w:pPr>
    </w:p>
    <w:p>
      <w:pPr>
        <w:pStyle w:val="4"/>
        <w:rPr>
          <w:rFonts w:hint="eastAsia"/>
          <w:b/>
          <w:bCs/>
          <w:sz w:val="40"/>
          <w:szCs w:val="40"/>
          <w:lang w:val="en-US" w:eastAsia="zh-CN"/>
        </w:rPr>
      </w:pPr>
    </w:p>
    <w:p>
      <w:pPr>
        <w:pStyle w:val="4"/>
        <w:rPr>
          <w:rFonts w:hint="eastAsia"/>
          <w:b/>
          <w:bCs/>
          <w:sz w:val="40"/>
          <w:szCs w:val="40"/>
          <w:lang w:val="en-US" w:eastAsia="zh-CN"/>
        </w:rPr>
      </w:pPr>
    </w:p>
    <w:p>
      <w:pPr>
        <w:pStyle w:val="4"/>
        <w:rPr>
          <w:rFonts w:hint="eastAsia"/>
          <w:b/>
          <w:bCs/>
          <w:sz w:val="40"/>
          <w:szCs w:val="40"/>
          <w:lang w:val="en-US" w:eastAsia="zh-CN"/>
        </w:rPr>
      </w:pPr>
    </w:p>
    <w:p>
      <w:pPr>
        <w:pStyle w:val="3"/>
        <w:rPr>
          <w:b/>
          <w:bCs/>
          <w:sz w:val="40"/>
          <w:szCs w:val="40"/>
        </w:rPr>
      </w:pPr>
    </w:p>
    <w:p>
      <w:pPr>
        <w:bidi w:val="0"/>
        <w:jc w:val="both"/>
        <w:rPr>
          <w:b/>
          <w:bCs/>
          <w:sz w:val="40"/>
          <w:szCs w:val="40"/>
        </w:rPr>
      </w:pPr>
      <w:bookmarkStart w:id="155" w:name="_GoBack"/>
      <w:bookmarkEnd w:id="155"/>
    </w:p>
    <w:p>
      <w:pPr>
        <w:spacing w:before="0" w:beforeLines="0" w:after="0" w:afterLines="0" w:line="240" w:lineRule="auto"/>
        <w:ind w:left="0" w:leftChars="0" w:right="0" w:rightChars="0" w:firstLine="0" w:firstLineChars="0"/>
        <w:jc w:val="center"/>
        <w:rPr>
          <w:sz w:val="36"/>
          <w:szCs w:val="28"/>
        </w:rPr>
      </w:pPr>
      <w:r>
        <w:rPr>
          <w:rFonts w:ascii="宋体" w:hAnsi="宋体" w:eastAsia="宋体"/>
          <w:sz w:val="22"/>
          <w:szCs w:val="28"/>
        </w:rPr>
        <w:t>目录</w:t>
      </w:r>
    </w:p>
    <w:p>
      <w:pPr>
        <w:pStyle w:val="5"/>
        <w:tabs>
          <w:tab w:val="right" w:leader="dot" w:pos="8306"/>
        </w:tabs>
        <w:rPr>
          <w:sz w:val="24"/>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TOC \o "1-2" \h \u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_Toc15844 </w:instrText>
      </w:r>
      <w:r>
        <w:rPr>
          <w:rFonts w:hint="eastAsia" w:ascii="仿宋_GB2312" w:hAnsi="仿宋_GB2312" w:eastAsia="仿宋_GB2312" w:cs="仿宋_GB2312"/>
          <w:sz w:val="24"/>
          <w:szCs w:val="21"/>
        </w:rPr>
        <w:fldChar w:fldCharType="separate"/>
      </w:r>
      <w:r>
        <w:rPr>
          <w:rFonts w:hint="eastAsia" w:ascii="方正黑体简体" w:hAnsi="方正黑体简体" w:eastAsia="方正黑体简体" w:cs="方正黑体简体"/>
          <w:sz w:val="24"/>
          <w:szCs w:val="21"/>
        </w:rPr>
        <w:t>1 总则</w:t>
      </w:r>
      <w:r>
        <w:rPr>
          <w:sz w:val="24"/>
          <w:szCs w:val="21"/>
        </w:rPr>
        <w:tab/>
      </w:r>
      <w:r>
        <w:rPr>
          <w:sz w:val="24"/>
          <w:szCs w:val="21"/>
        </w:rPr>
        <w:fldChar w:fldCharType="begin"/>
      </w:r>
      <w:r>
        <w:rPr>
          <w:sz w:val="24"/>
          <w:szCs w:val="21"/>
        </w:rPr>
        <w:instrText xml:space="preserve"> PAGEREF _Toc15844 \h </w:instrText>
      </w:r>
      <w:r>
        <w:rPr>
          <w:sz w:val="24"/>
          <w:szCs w:val="21"/>
        </w:rPr>
        <w:fldChar w:fldCharType="separate"/>
      </w:r>
      <w:r>
        <w:rPr>
          <w:sz w:val="24"/>
          <w:szCs w:val="21"/>
        </w:rPr>
        <w:t>1</w:t>
      </w:r>
      <w:r>
        <w:rPr>
          <w:sz w:val="24"/>
          <w:szCs w:val="21"/>
        </w:rPr>
        <w:fldChar w:fldCharType="end"/>
      </w:r>
      <w:r>
        <w:rPr>
          <w:rFonts w:hint="eastAsia" w:ascii="仿宋_GB2312" w:hAnsi="仿宋_GB2312" w:eastAsia="仿宋_GB2312" w:cs="仿宋_GB2312"/>
          <w:sz w:val="24"/>
          <w:szCs w:val="21"/>
        </w:rPr>
        <w:fldChar w:fldCharType="end"/>
      </w:r>
    </w:p>
    <w:p>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_Toc912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1.1 编制目的</w:t>
      </w:r>
      <w:r>
        <w:rPr>
          <w:sz w:val="24"/>
          <w:szCs w:val="21"/>
        </w:rPr>
        <w:tab/>
      </w:r>
      <w:r>
        <w:rPr>
          <w:sz w:val="24"/>
          <w:szCs w:val="21"/>
        </w:rPr>
        <w:fldChar w:fldCharType="begin"/>
      </w:r>
      <w:r>
        <w:rPr>
          <w:sz w:val="24"/>
          <w:szCs w:val="21"/>
        </w:rPr>
        <w:instrText xml:space="preserve"> PAGEREF _Toc912 \h </w:instrText>
      </w:r>
      <w:r>
        <w:rPr>
          <w:sz w:val="24"/>
          <w:szCs w:val="21"/>
        </w:rPr>
        <w:fldChar w:fldCharType="separate"/>
      </w:r>
      <w:r>
        <w:rPr>
          <w:sz w:val="24"/>
          <w:szCs w:val="21"/>
        </w:rPr>
        <w:t>1</w:t>
      </w:r>
      <w:r>
        <w:rPr>
          <w:sz w:val="24"/>
          <w:szCs w:val="21"/>
        </w:rPr>
        <w:fldChar w:fldCharType="end"/>
      </w:r>
      <w:r>
        <w:rPr>
          <w:rFonts w:hint="eastAsia" w:ascii="仿宋_GB2312" w:hAnsi="仿宋_GB2312" w:eastAsia="仿宋_GB2312" w:cs="仿宋_GB2312"/>
          <w:sz w:val="24"/>
          <w:szCs w:val="21"/>
        </w:rPr>
        <w:fldChar w:fldCharType="end"/>
      </w:r>
    </w:p>
    <w:p>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_Toc32215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1.2 编制依据</w:t>
      </w:r>
      <w:r>
        <w:rPr>
          <w:sz w:val="24"/>
          <w:szCs w:val="21"/>
        </w:rPr>
        <w:tab/>
      </w:r>
      <w:r>
        <w:rPr>
          <w:sz w:val="24"/>
          <w:szCs w:val="21"/>
        </w:rPr>
        <w:fldChar w:fldCharType="begin"/>
      </w:r>
      <w:r>
        <w:rPr>
          <w:sz w:val="24"/>
          <w:szCs w:val="21"/>
        </w:rPr>
        <w:instrText xml:space="preserve"> PAGEREF _Toc32215 \h </w:instrText>
      </w:r>
      <w:r>
        <w:rPr>
          <w:sz w:val="24"/>
          <w:szCs w:val="21"/>
        </w:rPr>
        <w:fldChar w:fldCharType="separate"/>
      </w:r>
      <w:r>
        <w:rPr>
          <w:sz w:val="24"/>
          <w:szCs w:val="21"/>
        </w:rPr>
        <w:t>1</w:t>
      </w:r>
      <w:r>
        <w:rPr>
          <w:sz w:val="24"/>
          <w:szCs w:val="21"/>
        </w:rPr>
        <w:fldChar w:fldCharType="end"/>
      </w:r>
      <w:r>
        <w:rPr>
          <w:rFonts w:hint="eastAsia" w:ascii="仿宋_GB2312" w:hAnsi="仿宋_GB2312" w:eastAsia="仿宋_GB2312" w:cs="仿宋_GB2312"/>
          <w:sz w:val="24"/>
          <w:szCs w:val="21"/>
        </w:rPr>
        <w:fldChar w:fldCharType="end"/>
      </w:r>
    </w:p>
    <w:p>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_Toc21137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1.3 适用范围</w:t>
      </w:r>
      <w:r>
        <w:rPr>
          <w:sz w:val="24"/>
          <w:szCs w:val="21"/>
        </w:rPr>
        <w:tab/>
      </w:r>
      <w:r>
        <w:rPr>
          <w:sz w:val="24"/>
          <w:szCs w:val="21"/>
        </w:rPr>
        <w:fldChar w:fldCharType="begin"/>
      </w:r>
      <w:r>
        <w:rPr>
          <w:sz w:val="24"/>
          <w:szCs w:val="21"/>
        </w:rPr>
        <w:instrText xml:space="preserve"> PAGEREF _Toc21137 \h </w:instrText>
      </w:r>
      <w:r>
        <w:rPr>
          <w:sz w:val="24"/>
          <w:szCs w:val="21"/>
        </w:rPr>
        <w:fldChar w:fldCharType="separate"/>
      </w:r>
      <w:r>
        <w:rPr>
          <w:sz w:val="24"/>
          <w:szCs w:val="21"/>
        </w:rPr>
        <w:t>2</w:t>
      </w:r>
      <w:r>
        <w:rPr>
          <w:sz w:val="24"/>
          <w:szCs w:val="21"/>
        </w:rPr>
        <w:fldChar w:fldCharType="end"/>
      </w:r>
      <w:r>
        <w:rPr>
          <w:rFonts w:hint="eastAsia" w:ascii="仿宋_GB2312" w:hAnsi="仿宋_GB2312" w:eastAsia="仿宋_GB2312" w:cs="仿宋_GB2312"/>
          <w:sz w:val="24"/>
          <w:szCs w:val="21"/>
        </w:rPr>
        <w:fldChar w:fldCharType="end"/>
      </w:r>
    </w:p>
    <w:p>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_Toc1759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1.</w:t>
      </w:r>
      <w:r>
        <w:rPr>
          <w:rFonts w:hint="eastAsia" w:ascii="楷体_GB2312" w:hAnsi="楷体_GB2312" w:eastAsia="楷体_GB2312" w:cs="楷体_GB2312"/>
          <w:sz w:val="24"/>
          <w:szCs w:val="21"/>
          <w:lang w:val="en-US" w:eastAsia="zh-CN"/>
        </w:rPr>
        <w:t>4</w:t>
      </w:r>
      <w:r>
        <w:rPr>
          <w:rFonts w:hint="eastAsia" w:ascii="楷体_GB2312" w:hAnsi="楷体_GB2312" w:eastAsia="楷体_GB2312" w:cs="楷体_GB2312"/>
          <w:sz w:val="24"/>
          <w:szCs w:val="21"/>
        </w:rPr>
        <w:t xml:space="preserve"> </w:t>
      </w:r>
      <w:r>
        <w:rPr>
          <w:rFonts w:hint="eastAsia" w:ascii="楷体_GB2312" w:hAnsi="楷体_GB2312" w:eastAsia="楷体_GB2312" w:cs="楷体_GB2312"/>
          <w:sz w:val="24"/>
          <w:szCs w:val="21"/>
          <w:lang w:val="en-US" w:eastAsia="zh-CN"/>
        </w:rPr>
        <w:t>工作原则</w:t>
      </w:r>
      <w:r>
        <w:rPr>
          <w:sz w:val="24"/>
          <w:szCs w:val="21"/>
        </w:rPr>
        <w:tab/>
      </w:r>
      <w:r>
        <w:rPr>
          <w:sz w:val="24"/>
          <w:szCs w:val="21"/>
        </w:rPr>
        <w:fldChar w:fldCharType="begin"/>
      </w:r>
      <w:r>
        <w:rPr>
          <w:sz w:val="24"/>
          <w:szCs w:val="21"/>
        </w:rPr>
        <w:instrText xml:space="preserve"> PAGEREF _Toc1759 \h </w:instrText>
      </w:r>
      <w:r>
        <w:rPr>
          <w:sz w:val="24"/>
          <w:szCs w:val="21"/>
        </w:rPr>
        <w:fldChar w:fldCharType="separate"/>
      </w:r>
      <w:r>
        <w:rPr>
          <w:sz w:val="24"/>
          <w:szCs w:val="21"/>
        </w:rPr>
        <w:t>3</w:t>
      </w:r>
      <w:r>
        <w:rPr>
          <w:sz w:val="24"/>
          <w:szCs w:val="21"/>
        </w:rPr>
        <w:fldChar w:fldCharType="end"/>
      </w:r>
      <w:r>
        <w:rPr>
          <w:rFonts w:hint="eastAsia" w:ascii="仿宋_GB2312" w:hAnsi="仿宋_GB2312" w:eastAsia="仿宋_GB2312" w:cs="仿宋_GB2312"/>
          <w:sz w:val="24"/>
          <w:szCs w:val="21"/>
        </w:rPr>
        <w:fldChar w:fldCharType="end"/>
      </w:r>
    </w:p>
    <w:p>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_Toc1478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1.5 事故、预警和响应分级</w:t>
      </w:r>
      <w:r>
        <w:rPr>
          <w:sz w:val="24"/>
          <w:szCs w:val="21"/>
        </w:rPr>
        <w:tab/>
      </w:r>
      <w:r>
        <w:rPr>
          <w:sz w:val="24"/>
          <w:szCs w:val="21"/>
        </w:rPr>
        <w:fldChar w:fldCharType="begin"/>
      </w:r>
      <w:r>
        <w:rPr>
          <w:sz w:val="24"/>
          <w:szCs w:val="21"/>
        </w:rPr>
        <w:instrText xml:space="preserve"> PAGEREF _Toc1478 \h </w:instrText>
      </w:r>
      <w:r>
        <w:rPr>
          <w:sz w:val="24"/>
          <w:szCs w:val="21"/>
        </w:rPr>
        <w:fldChar w:fldCharType="separate"/>
      </w:r>
      <w:r>
        <w:rPr>
          <w:sz w:val="24"/>
          <w:szCs w:val="21"/>
        </w:rPr>
        <w:t>4</w:t>
      </w:r>
      <w:r>
        <w:rPr>
          <w:sz w:val="24"/>
          <w:szCs w:val="21"/>
        </w:rPr>
        <w:fldChar w:fldCharType="end"/>
      </w:r>
      <w:r>
        <w:rPr>
          <w:rFonts w:hint="eastAsia" w:ascii="仿宋_GB2312" w:hAnsi="仿宋_GB2312" w:eastAsia="仿宋_GB2312" w:cs="仿宋_GB2312"/>
          <w:sz w:val="24"/>
          <w:szCs w:val="21"/>
        </w:rPr>
        <w:fldChar w:fldCharType="end"/>
      </w:r>
    </w:p>
    <w:p>
      <w:pPr>
        <w:pStyle w:val="5"/>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_Toc19310 </w:instrText>
      </w:r>
      <w:r>
        <w:rPr>
          <w:rFonts w:hint="eastAsia" w:ascii="仿宋_GB2312" w:hAnsi="仿宋_GB2312" w:eastAsia="仿宋_GB2312" w:cs="仿宋_GB2312"/>
          <w:sz w:val="24"/>
          <w:szCs w:val="21"/>
        </w:rPr>
        <w:fldChar w:fldCharType="separate"/>
      </w:r>
      <w:r>
        <w:rPr>
          <w:rFonts w:hint="eastAsia" w:ascii="方正黑体简体" w:hAnsi="方正黑体简体" w:eastAsia="方正黑体简体" w:cs="方正黑体简体"/>
          <w:sz w:val="24"/>
          <w:szCs w:val="21"/>
        </w:rPr>
        <w:t>2 组织体系与职责</w:t>
      </w:r>
      <w:r>
        <w:rPr>
          <w:sz w:val="24"/>
          <w:szCs w:val="21"/>
        </w:rPr>
        <w:tab/>
      </w:r>
      <w:r>
        <w:rPr>
          <w:sz w:val="24"/>
          <w:szCs w:val="21"/>
        </w:rPr>
        <w:fldChar w:fldCharType="begin"/>
      </w:r>
      <w:r>
        <w:rPr>
          <w:sz w:val="24"/>
          <w:szCs w:val="21"/>
        </w:rPr>
        <w:instrText xml:space="preserve"> PAGEREF _Toc19310 \h </w:instrText>
      </w:r>
      <w:r>
        <w:rPr>
          <w:sz w:val="24"/>
          <w:szCs w:val="21"/>
        </w:rPr>
        <w:fldChar w:fldCharType="separate"/>
      </w:r>
      <w:r>
        <w:rPr>
          <w:sz w:val="24"/>
          <w:szCs w:val="21"/>
        </w:rPr>
        <w:t>4</w:t>
      </w:r>
      <w:r>
        <w:rPr>
          <w:sz w:val="24"/>
          <w:szCs w:val="21"/>
        </w:rPr>
        <w:fldChar w:fldCharType="end"/>
      </w:r>
      <w:r>
        <w:rPr>
          <w:rFonts w:hint="eastAsia" w:ascii="仿宋_GB2312" w:hAnsi="仿宋_GB2312" w:eastAsia="仿宋_GB2312" w:cs="仿宋_GB2312"/>
          <w:sz w:val="24"/>
          <w:szCs w:val="21"/>
        </w:rPr>
        <w:fldChar w:fldCharType="end"/>
      </w:r>
    </w:p>
    <w:p>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_Toc27148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2.1永泰县危险化学品事故应急指挥部</w:t>
      </w:r>
      <w:r>
        <w:rPr>
          <w:sz w:val="24"/>
          <w:szCs w:val="21"/>
        </w:rPr>
        <w:tab/>
      </w:r>
      <w:r>
        <w:rPr>
          <w:sz w:val="24"/>
          <w:szCs w:val="21"/>
        </w:rPr>
        <w:fldChar w:fldCharType="begin"/>
      </w:r>
      <w:r>
        <w:rPr>
          <w:sz w:val="24"/>
          <w:szCs w:val="21"/>
        </w:rPr>
        <w:instrText xml:space="preserve"> PAGEREF _Toc27148 \h </w:instrText>
      </w:r>
      <w:r>
        <w:rPr>
          <w:sz w:val="24"/>
          <w:szCs w:val="21"/>
        </w:rPr>
        <w:fldChar w:fldCharType="separate"/>
      </w:r>
      <w:r>
        <w:rPr>
          <w:sz w:val="24"/>
          <w:szCs w:val="21"/>
        </w:rPr>
        <w:t>4</w:t>
      </w:r>
      <w:r>
        <w:rPr>
          <w:sz w:val="24"/>
          <w:szCs w:val="21"/>
        </w:rPr>
        <w:fldChar w:fldCharType="end"/>
      </w:r>
      <w:r>
        <w:rPr>
          <w:rFonts w:hint="eastAsia" w:ascii="仿宋_GB2312" w:hAnsi="仿宋_GB2312" w:eastAsia="仿宋_GB2312" w:cs="仿宋_GB2312"/>
          <w:sz w:val="24"/>
          <w:szCs w:val="21"/>
        </w:rPr>
        <w:fldChar w:fldCharType="end"/>
      </w:r>
    </w:p>
    <w:p>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_Toc23392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2.2 应急组织机构职责</w:t>
      </w:r>
      <w:r>
        <w:rPr>
          <w:sz w:val="24"/>
          <w:szCs w:val="21"/>
        </w:rPr>
        <w:tab/>
      </w:r>
      <w:r>
        <w:rPr>
          <w:sz w:val="24"/>
          <w:szCs w:val="21"/>
        </w:rPr>
        <w:fldChar w:fldCharType="begin"/>
      </w:r>
      <w:r>
        <w:rPr>
          <w:sz w:val="24"/>
          <w:szCs w:val="21"/>
        </w:rPr>
        <w:instrText xml:space="preserve"> PAGEREF _Toc23392 \h </w:instrText>
      </w:r>
      <w:r>
        <w:rPr>
          <w:sz w:val="24"/>
          <w:szCs w:val="21"/>
        </w:rPr>
        <w:fldChar w:fldCharType="separate"/>
      </w:r>
      <w:r>
        <w:rPr>
          <w:sz w:val="24"/>
          <w:szCs w:val="21"/>
        </w:rPr>
        <w:t>4</w:t>
      </w:r>
      <w:r>
        <w:rPr>
          <w:sz w:val="24"/>
          <w:szCs w:val="21"/>
        </w:rPr>
        <w:fldChar w:fldCharType="end"/>
      </w:r>
      <w:r>
        <w:rPr>
          <w:rFonts w:hint="eastAsia" w:ascii="仿宋_GB2312" w:hAnsi="仿宋_GB2312" w:eastAsia="仿宋_GB2312" w:cs="仿宋_GB2312"/>
          <w:sz w:val="24"/>
          <w:szCs w:val="21"/>
        </w:rPr>
        <w:fldChar w:fldCharType="end"/>
      </w:r>
    </w:p>
    <w:p>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_Toc3085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2.3</w:t>
      </w:r>
      <w:r>
        <w:rPr>
          <w:rFonts w:hint="eastAsia" w:ascii="楷体_GB2312" w:hAnsi="楷体_GB2312" w:eastAsia="楷体_GB2312" w:cs="楷体_GB2312"/>
          <w:sz w:val="24"/>
          <w:szCs w:val="21"/>
          <w:lang w:val="en-US" w:eastAsia="zh-CN"/>
        </w:rPr>
        <w:t>县</w:t>
      </w:r>
      <w:r>
        <w:rPr>
          <w:rFonts w:hint="eastAsia" w:ascii="楷体_GB2312" w:hAnsi="楷体_GB2312" w:eastAsia="楷体_GB2312" w:cs="楷体_GB2312"/>
          <w:sz w:val="24"/>
          <w:szCs w:val="21"/>
        </w:rPr>
        <w:t>有关部门</w:t>
      </w:r>
      <w:r>
        <w:rPr>
          <w:sz w:val="24"/>
          <w:szCs w:val="21"/>
        </w:rPr>
        <w:tab/>
      </w:r>
      <w:r>
        <w:rPr>
          <w:sz w:val="24"/>
          <w:szCs w:val="21"/>
        </w:rPr>
        <w:fldChar w:fldCharType="begin"/>
      </w:r>
      <w:r>
        <w:rPr>
          <w:sz w:val="24"/>
          <w:szCs w:val="21"/>
        </w:rPr>
        <w:instrText xml:space="preserve"> PAGEREF _Toc3085 \h </w:instrText>
      </w:r>
      <w:r>
        <w:rPr>
          <w:sz w:val="24"/>
          <w:szCs w:val="21"/>
        </w:rPr>
        <w:fldChar w:fldCharType="separate"/>
      </w:r>
      <w:r>
        <w:rPr>
          <w:sz w:val="24"/>
          <w:szCs w:val="21"/>
        </w:rPr>
        <w:t>8</w:t>
      </w:r>
      <w:r>
        <w:rPr>
          <w:sz w:val="24"/>
          <w:szCs w:val="21"/>
        </w:rPr>
        <w:fldChar w:fldCharType="end"/>
      </w:r>
      <w:r>
        <w:rPr>
          <w:rFonts w:hint="eastAsia" w:ascii="仿宋_GB2312" w:hAnsi="仿宋_GB2312" w:eastAsia="仿宋_GB2312" w:cs="仿宋_GB2312"/>
          <w:sz w:val="24"/>
          <w:szCs w:val="21"/>
        </w:rPr>
        <w:fldChar w:fldCharType="end"/>
      </w:r>
    </w:p>
    <w:p>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_Toc26492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2.4 乡（镇）政府</w:t>
      </w:r>
      <w:r>
        <w:rPr>
          <w:sz w:val="24"/>
          <w:szCs w:val="21"/>
        </w:rPr>
        <w:tab/>
      </w:r>
      <w:r>
        <w:rPr>
          <w:sz w:val="24"/>
          <w:szCs w:val="21"/>
        </w:rPr>
        <w:fldChar w:fldCharType="begin"/>
      </w:r>
      <w:r>
        <w:rPr>
          <w:sz w:val="24"/>
          <w:szCs w:val="21"/>
        </w:rPr>
        <w:instrText xml:space="preserve"> PAGEREF _Toc26492 \h </w:instrText>
      </w:r>
      <w:r>
        <w:rPr>
          <w:sz w:val="24"/>
          <w:szCs w:val="21"/>
        </w:rPr>
        <w:fldChar w:fldCharType="separate"/>
      </w:r>
      <w:r>
        <w:rPr>
          <w:sz w:val="24"/>
          <w:szCs w:val="21"/>
        </w:rPr>
        <w:t>10</w:t>
      </w:r>
      <w:r>
        <w:rPr>
          <w:sz w:val="24"/>
          <w:szCs w:val="21"/>
        </w:rPr>
        <w:fldChar w:fldCharType="end"/>
      </w:r>
      <w:r>
        <w:rPr>
          <w:rFonts w:hint="eastAsia" w:ascii="仿宋_GB2312" w:hAnsi="仿宋_GB2312" w:eastAsia="仿宋_GB2312" w:cs="仿宋_GB2312"/>
          <w:sz w:val="24"/>
          <w:szCs w:val="21"/>
        </w:rPr>
        <w:fldChar w:fldCharType="end"/>
      </w:r>
    </w:p>
    <w:p>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_Toc23161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2.5 应急救援队伍</w:t>
      </w:r>
      <w:r>
        <w:rPr>
          <w:sz w:val="24"/>
          <w:szCs w:val="21"/>
        </w:rPr>
        <w:tab/>
      </w:r>
      <w:r>
        <w:rPr>
          <w:sz w:val="24"/>
          <w:szCs w:val="21"/>
        </w:rPr>
        <w:fldChar w:fldCharType="begin"/>
      </w:r>
      <w:r>
        <w:rPr>
          <w:sz w:val="24"/>
          <w:szCs w:val="21"/>
        </w:rPr>
        <w:instrText xml:space="preserve"> PAGEREF _Toc23161 \h </w:instrText>
      </w:r>
      <w:r>
        <w:rPr>
          <w:sz w:val="24"/>
          <w:szCs w:val="21"/>
        </w:rPr>
        <w:fldChar w:fldCharType="separate"/>
      </w:r>
      <w:r>
        <w:rPr>
          <w:sz w:val="24"/>
          <w:szCs w:val="21"/>
        </w:rPr>
        <w:t>10</w:t>
      </w:r>
      <w:r>
        <w:rPr>
          <w:sz w:val="24"/>
          <w:szCs w:val="21"/>
        </w:rPr>
        <w:fldChar w:fldCharType="end"/>
      </w:r>
      <w:r>
        <w:rPr>
          <w:rFonts w:hint="eastAsia" w:ascii="仿宋_GB2312" w:hAnsi="仿宋_GB2312" w:eastAsia="仿宋_GB2312" w:cs="仿宋_GB2312"/>
          <w:sz w:val="24"/>
          <w:szCs w:val="21"/>
        </w:rPr>
        <w:fldChar w:fldCharType="end"/>
      </w:r>
    </w:p>
    <w:p>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_Toc18581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2.6 工作组</w:t>
      </w:r>
      <w:r>
        <w:rPr>
          <w:sz w:val="24"/>
          <w:szCs w:val="21"/>
        </w:rPr>
        <w:tab/>
      </w:r>
      <w:r>
        <w:rPr>
          <w:sz w:val="24"/>
          <w:szCs w:val="21"/>
        </w:rPr>
        <w:fldChar w:fldCharType="begin"/>
      </w:r>
      <w:r>
        <w:rPr>
          <w:sz w:val="24"/>
          <w:szCs w:val="21"/>
        </w:rPr>
        <w:instrText xml:space="preserve"> PAGEREF _Toc18581 \h </w:instrText>
      </w:r>
      <w:r>
        <w:rPr>
          <w:sz w:val="24"/>
          <w:szCs w:val="21"/>
        </w:rPr>
        <w:fldChar w:fldCharType="separate"/>
      </w:r>
      <w:r>
        <w:rPr>
          <w:sz w:val="24"/>
          <w:szCs w:val="21"/>
        </w:rPr>
        <w:t>12</w:t>
      </w:r>
      <w:r>
        <w:rPr>
          <w:sz w:val="24"/>
          <w:szCs w:val="21"/>
        </w:rPr>
        <w:fldChar w:fldCharType="end"/>
      </w:r>
      <w:r>
        <w:rPr>
          <w:rFonts w:hint="eastAsia" w:ascii="仿宋_GB2312" w:hAnsi="仿宋_GB2312" w:eastAsia="仿宋_GB2312" w:cs="仿宋_GB2312"/>
          <w:sz w:val="24"/>
          <w:szCs w:val="21"/>
        </w:rPr>
        <w:fldChar w:fldCharType="end"/>
      </w:r>
    </w:p>
    <w:p>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_Toc25651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2.7 应急救援专家组</w:t>
      </w:r>
      <w:r>
        <w:rPr>
          <w:sz w:val="24"/>
          <w:szCs w:val="21"/>
        </w:rPr>
        <w:tab/>
      </w:r>
      <w:r>
        <w:rPr>
          <w:sz w:val="24"/>
          <w:szCs w:val="21"/>
        </w:rPr>
        <w:fldChar w:fldCharType="begin"/>
      </w:r>
      <w:r>
        <w:rPr>
          <w:sz w:val="24"/>
          <w:szCs w:val="21"/>
        </w:rPr>
        <w:instrText xml:space="preserve"> PAGEREF _Toc25651 \h </w:instrText>
      </w:r>
      <w:r>
        <w:rPr>
          <w:sz w:val="24"/>
          <w:szCs w:val="21"/>
        </w:rPr>
        <w:fldChar w:fldCharType="separate"/>
      </w:r>
      <w:r>
        <w:rPr>
          <w:sz w:val="24"/>
          <w:szCs w:val="21"/>
        </w:rPr>
        <w:t>12</w:t>
      </w:r>
      <w:r>
        <w:rPr>
          <w:sz w:val="24"/>
          <w:szCs w:val="21"/>
        </w:rPr>
        <w:fldChar w:fldCharType="end"/>
      </w:r>
      <w:r>
        <w:rPr>
          <w:rFonts w:hint="eastAsia" w:ascii="仿宋_GB2312" w:hAnsi="仿宋_GB2312" w:eastAsia="仿宋_GB2312" w:cs="仿宋_GB2312"/>
          <w:sz w:val="24"/>
          <w:szCs w:val="21"/>
        </w:rPr>
        <w:fldChar w:fldCharType="end"/>
      </w:r>
    </w:p>
    <w:p>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_Toc28151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2.8 事故发生单位</w:t>
      </w:r>
      <w:r>
        <w:rPr>
          <w:sz w:val="24"/>
          <w:szCs w:val="21"/>
        </w:rPr>
        <w:tab/>
      </w:r>
      <w:r>
        <w:rPr>
          <w:sz w:val="24"/>
          <w:szCs w:val="21"/>
        </w:rPr>
        <w:fldChar w:fldCharType="begin"/>
      </w:r>
      <w:r>
        <w:rPr>
          <w:sz w:val="24"/>
          <w:szCs w:val="21"/>
        </w:rPr>
        <w:instrText xml:space="preserve"> PAGEREF _Toc28151 \h </w:instrText>
      </w:r>
      <w:r>
        <w:rPr>
          <w:sz w:val="24"/>
          <w:szCs w:val="21"/>
        </w:rPr>
        <w:fldChar w:fldCharType="separate"/>
      </w:r>
      <w:r>
        <w:rPr>
          <w:sz w:val="24"/>
          <w:szCs w:val="21"/>
        </w:rPr>
        <w:t>12</w:t>
      </w:r>
      <w:r>
        <w:rPr>
          <w:sz w:val="24"/>
          <w:szCs w:val="21"/>
        </w:rPr>
        <w:fldChar w:fldCharType="end"/>
      </w:r>
      <w:r>
        <w:rPr>
          <w:rFonts w:hint="eastAsia" w:ascii="仿宋_GB2312" w:hAnsi="仿宋_GB2312" w:eastAsia="仿宋_GB2312" w:cs="仿宋_GB2312"/>
          <w:sz w:val="24"/>
          <w:szCs w:val="21"/>
        </w:rPr>
        <w:fldChar w:fldCharType="end"/>
      </w:r>
    </w:p>
    <w:p>
      <w:pPr>
        <w:pStyle w:val="5"/>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_Toc20355 </w:instrText>
      </w:r>
      <w:r>
        <w:rPr>
          <w:rFonts w:hint="eastAsia" w:ascii="仿宋_GB2312" w:hAnsi="仿宋_GB2312" w:eastAsia="仿宋_GB2312" w:cs="仿宋_GB2312"/>
          <w:sz w:val="24"/>
          <w:szCs w:val="21"/>
        </w:rPr>
        <w:fldChar w:fldCharType="separate"/>
      </w:r>
      <w:r>
        <w:rPr>
          <w:rFonts w:hint="eastAsia" w:ascii="方正黑体简体" w:hAnsi="方正黑体简体" w:eastAsia="方正黑体简体" w:cs="方正黑体简体"/>
          <w:sz w:val="24"/>
          <w:szCs w:val="21"/>
        </w:rPr>
        <w:t>3主要危险源分析</w:t>
      </w:r>
      <w:r>
        <w:rPr>
          <w:sz w:val="24"/>
          <w:szCs w:val="21"/>
        </w:rPr>
        <w:tab/>
      </w:r>
      <w:r>
        <w:rPr>
          <w:sz w:val="24"/>
          <w:szCs w:val="21"/>
        </w:rPr>
        <w:fldChar w:fldCharType="begin"/>
      </w:r>
      <w:r>
        <w:rPr>
          <w:sz w:val="24"/>
          <w:szCs w:val="21"/>
        </w:rPr>
        <w:instrText xml:space="preserve"> PAGEREF _Toc20355 \h </w:instrText>
      </w:r>
      <w:r>
        <w:rPr>
          <w:sz w:val="24"/>
          <w:szCs w:val="21"/>
        </w:rPr>
        <w:fldChar w:fldCharType="separate"/>
      </w:r>
      <w:r>
        <w:rPr>
          <w:sz w:val="24"/>
          <w:szCs w:val="21"/>
        </w:rPr>
        <w:t>13</w:t>
      </w:r>
      <w:r>
        <w:rPr>
          <w:sz w:val="24"/>
          <w:szCs w:val="21"/>
        </w:rPr>
        <w:fldChar w:fldCharType="end"/>
      </w:r>
      <w:r>
        <w:rPr>
          <w:rFonts w:hint="eastAsia" w:ascii="仿宋_GB2312" w:hAnsi="仿宋_GB2312" w:eastAsia="仿宋_GB2312" w:cs="仿宋_GB2312"/>
          <w:sz w:val="24"/>
          <w:szCs w:val="21"/>
        </w:rPr>
        <w:fldChar w:fldCharType="end"/>
      </w:r>
    </w:p>
    <w:p>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_Toc12360 </w:instrText>
      </w:r>
      <w:r>
        <w:rPr>
          <w:rFonts w:hint="eastAsia" w:ascii="仿宋_GB2312" w:hAnsi="仿宋_GB2312" w:eastAsia="仿宋_GB2312" w:cs="仿宋_GB2312"/>
          <w:sz w:val="24"/>
          <w:szCs w:val="21"/>
        </w:rPr>
        <w:fldChar w:fldCharType="separate"/>
      </w:r>
      <w:r>
        <w:rPr>
          <w:rFonts w:hint="eastAsia" w:ascii="仿宋_GB2312" w:hAnsi="仿宋_GB2312" w:eastAsia="仿宋_GB2312" w:cs="仿宋_GB2312"/>
          <w:sz w:val="24"/>
          <w:szCs w:val="21"/>
        </w:rPr>
        <w:t>3.1 行业概况</w:t>
      </w:r>
      <w:r>
        <w:rPr>
          <w:sz w:val="24"/>
          <w:szCs w:val="21"/>
        </w:rPr>
        <w:tab/>
      </w:r>
      <w:r>
        <w:rPr>
          <w:sz w:val="24"/>
          <w:szCs w:val="21"/>
        </w:rPr>
        <w:fldChar w:fldCharType="begin"/>
      </w:r>
      <w:r>
        <w:rPr>
          <w:sz w:val="24"/>
          <w:szCs w:val="21"/>
        </w:rPr>
        <w:instrText xml:space="preserve"> PAGEREF _Toc12360 \h </w:instrText>
      </w:r>
      <w:r>
        <w:rPr>
          <w:sz w:val="24"/>
          <w:szCs w:val="21"/>
        </w:rPr>
        <w:fldChar w:fldCharType="separate"/>
      </w:r>
      <w:r>
        <w:rPr>
          <w:sz w:val="24"/>
          <w:szCs w:val="21"/>
        </w:rPr>
        <w:t>13</w:t>
      </w:r>
      <w:r>
        <w:rPr>
          <w:sz w:val="24"/>
          <w:szCs w:val="21"/>
        </w:rPr>
        <w:fldChar w:fldCharType="end"/>
      </w:r>
      <w:r>
        <w:rPr>
          <w:rFonts w:hint="eastAsia" w:ascii="仿宋_GB2312" w:hAnsi="仿宋_GB2312" w:eastAsia="仿宋_GB2312" w:cs="仿宋_GB2312"/>
          <w:sz w:val="24"/>
          <w:szCs w:val="21"/>
        </w:rPr>
        <w:fldChar w:fldCharType="end"/>
      </w:r>
    </w:p>
    <w:p>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_Toc14318 </w:instrText>
      </w:r>
      <w:r>
        <w:rPr>
          <w:rFonts w:hint="eastAsia" w:ascii="仿宋_GB2312" w:hAnsi="仿宋_GB2312" w:eastAsia="仿宋_GB2312" w:cs="仿宋_GB2312"/>
          <w:sz w:val="24"/>
          <w:szCs w:val="21"/>
        </w:rPr>
        <w:fldChar w:fldCharType="separate"/>
      </w:r>
      <w:r>
        <w:rPr>
          <w:rFonts w:hint="eastAsia" w:ascii="仿宋_GB2312" w:hAnsi="仿宋_GB2312" w:eastAsia="仿宋_GB2312" w:cs="仿宋_GB2312"/>
          <w:sz w:val="24"/>
          <w:szCs w:val="21"/>
        </w:rPr>
        <w:t>3.2 危险化学品企业分布情况</w:t>
      </w:r>
      <w:r>
        <w:rPr>
          <w:sz w:val="24"/>
          <w:szCs w:val="21"/>
        </w:rPr>
        <w:tab/>
      </w:r>
      <w:r>
        <w:rPr>
          <w:sz w:val="24"/>
          <w:szCs w:val="21"/>
        </w:rPr>
        <w:fldChar w:fldCharType="begin"/>
      </w:r>
      <w:r>
        <w:rPr>
          <w:sz w:val="24"/>
          <w:szCs w:val="21"/>
        </w:rPr>
        <w:instrText xml:space="preserve"> PAGEREF _Toc14318 \h </w:instrText>
      </w:r>
      <w:r>
        <w:rPr>
          <w:sz w:val="24"/>
          <w:szCs w:val="21"/>
        </w:rPr>
        <w:fldChar w:fldCharType="separate"/>
      </w:r>
      <w:r>
        <w:rPr>
          <w:sz w:val="24"/>
          <w:szCs w:val="21"/>
        </w:rPr>
        <w:t>13</w:t>
      </w:r>
      <w:r>
        <w:rPr>
          <w:sz w:val="24"/>
          <w:szCs w:val="21"/>
        </w:rPr>
        <w:fldChar w:fldCharType="end"/>
      </w:r>
      <w:r>
        <w:rPr>
          <w:rFonts w:hint="eastAsia" w:ascii="仿宋_GB2312" w:hAnsi="仿宋_GB2312" w:eastAsia="仿宋_GB2312" w:cs="仿宋_GB2312"/>
          <w:sz w:val="24"/>
          <w:szCs w:val="21"/>
        </w:rPr>
        <w:fldChar w:fldCharType="end"/>
      </w:r>
    </w:p>
    <w:p>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_Toc13453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4"/>
        </w:rPr>
        <w:t>3.3 主要事故风险点</w:t>
      </w:r>
      <w:r>
        <w:rPr>
          <w:sz w:val="24"/>
          <w:szCs w:val="21"/>
        </w:rPr>
        <w:tab/>
      </w:r>
      <w:r>
        <w:rPr>
          <w:sz w:val="24"/>
          <w:szCs w:val="21"/>
        </w:rPr>
        <w:fldChar w:fldCharType="begin"/>
      </w:r>
      <w:r>
        <w:rPr>
          <w:sz w:val="24"/>
          <w:szCs w:val="21"/>
        </w:rPr>
        <w:instrText xml:space="preserve"> PAGEREF _Toc13453 \h </w:instrText>
      </w:r>
      <w:r>
        <w:rPr>
          <w:sz w:val="24"/>
          <w:szCs w:val="21"/>
        </w:rPr>
        <w:fldChar w:fldCharType="separate"/>
      </w:r>
      <w:r>
        <w:rPr>
          <w:sz w:val="24"/>
          <w:szCs w:val="21"/>
        </w:rPr>
        <w:t>13</w:t>
      </w:r>
      <w:r>
        <w:rPr>
          <w:sz w:val="24"/>
          <w:szCs w:val="21"/>
        </w:rPr>
        <w:fldChar w:fldCharType="end"/>
      </w:r>
      <w:r>
        <w:rPr>
          <w:rFonts w:hint="eastAsia" w:ascii="仿宋_GB2312" w:hAnsi="仿宋_GB2312" w:eastAsia="仿宋_GB2312" w:cs="仿宋_GB2312"/>
          <w:sz w:val="24"/>
          <w:szCs w:val="21"/>
        </w:rPr>
        <w:fldChar w:fldCharType="end"/>
      </w:r>
    </w:p>
    <w:p>
      <w:pPr>
        <w:pStyle w:val="5"/>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_Toc4018 </w:instrText>
      </w:r>
      <w:r>
        <w:rPr>
          <w:rFonts w:hint="eastAsia" w:ascii="仿宋_GB2312" w:hAnsi="仿宋_GB2312" w:eastAsia="仿宋_GB2312" w:cs="仿宋_GB2312"/>
          <w:sz w:val="24"/>
          <w:szCs w:val="21"/>
        </w:rPr>
        <w:fldChar w:fldCharType="separate"/>
      </w:r>
      <w:r>
        <w:rPr>
          <w:rFonts w:hint="eastAsia" w:ascii="方正黑体简体" w:hAnsi="方正黑体简体" w:eastAsia="方正黑体简体" w:cs="方正黑体简体"/>
          <w:sz w:val="24"/>
          <w:szCs w:val="21"/>
        </w:rPr>
        <w:t>4 预警与信息报告</w:t>
      </w:r>
      <w:r>
        <w:rPr>
          <w:sz w:val="24"/>
          <w:szCs w:val="21"/>
        </w:rPr>
        <w:tab/>
      </w:r>
      <w:r>
        <w:rPr>
          <w:sz w:val="24"/>
          <w:szCs w:val="21"/>
        </w:rPr>
        <w:fldChar w:fldCharType="begin"/>
      </w:r>
      <w:r>
        <w:rPr>
          <w:sz w:val="24"/>
          <w:szCs w:val="21"/>
        </w:rPr>
        <w:instrText xml:space="preserve"> PAGEREF _Toc4018 \h </w:instrText>
      </w:r>
      <w:r>
        <w:rPr>
          <w:sz w:val="24"/>
          <w:szCs w:val="21"/>
        </w:rPr>
        <w:fldChar w:fldCharType="separate"/>
      </w:r>
      <w:r>
        <w:rPr>
          <w:sz w:val="24"/>
          <w:szCs w:val="21"/>
        </w:rPr>
        <w:t>13</w:t>
      </w:r>
      <w:r>
        <w:rPr>
          <w:sz w:val="24"/>
          <w:szCs w:val="21"/>
        </w:rPr>
        <w:fldChar w:fldCharType="end"/>
      </w:r>
      <w:r>
        <w:rPr>
          <w:rFonts w:hint="eastAsia" w:ascii="仿宋_GB2312" w:hAnsi="仿宋_GB2312" w:eastAsia="仿宋_GB2312" w:cs="仿宋_GB2312"/>
          <w:sz w:val="24"/>
          <w:szCs w:val="21"/>
        </w:rPr>
        <w:fldChar w:fldCharType="end"/>
      </w:r>
    </w:p>
    <w:p>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_Toc10282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4.1 预警</w:t>
      </w:r>
      <w:r>
        <w:rPr>
          <w:sz w:val="24"/>
          <w:szCs w:val="21"/>
        </w:rPr>
        <w:tab/>
      </w:r>
      <w:r>
        <w:rPr>
          <w:sz w:val="24"/>
          <w:szCs w:val="21"/>
        </w:rPr>
        <w:fldChar w:fldCharType="begin"/>
      </w:r>
      <w:r>
        <w:rPr>
          <w:sz w:val="24"/>
          <w:szCs w:val="21"/>
        </w:rPr>
        <w:instrText xml:space="preserve"> PAGEREF _Toc10282 \h </w:instrText>
      </w:r>
      <w:r>
        <w:rPr>
          <w:sz w:val="24"/>
          <w:szCs w:val="21"/>
        </w:rPr>
        <w:fldChar w:fldCharType="separate"/>
      </w:r>
      <w:r>
        <w:rPr>
          <w:sz w:val="24"/>
          <w:szCs w:val="21"/>
        </w:rPr>
        <w:t>13</w:t>
      </w:r>
      <w:r>
        <w:rPr>
          <w:sz w:val="24"/>
          <w:szCs w:val="21"/>
        </w:rPr>
        <w:fldChar w:fldCharType="end"/>
      </w:r>
      <w:r>
        <w:rPr>
          <w:rFonts w:hint="eastAsia" w:ascii="仿宋_GB2312" w:hAnsi="仿宋_GB2312" w:eastAsia="仿宋_GB2312" w:cs="仿宋_GB2312"/>
          <w:sz w:val="24"/>
          <w:szCs w:val="21"/>
        </w:rPr>
        <w:fldChar w:fldCharType="end"/>
      </w:r>
    </w:p>
    <w:p>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_Toc19000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4.2 信息报告</w:t>
      </w:r>
      <w:r>
        <w:rPr>
          <w:sz w:val="24"/>
          <w:szCs w:val="21"/>
        </w:rPr>
        <w:tab/>
      </w:r>
      <w:r>
        <w:rPr>
          <w:sz w:val="24"/>
          <w:szCs w:val="21"/>
        </w:rPr>
        <w:fldChar w:fldCharType="begin"/>
      </w:r>
      <w:r>
        <w:rPr>
          <w:sz w:val="24"/>
          <w:szCs w:val="21"/>
        </w:rPr>
        <w:instrText xml:space="preserve"> PAGEREF _Toc19000 \h </w:instrText>
      </w:r>
      <w:r>
        <w:rPr>
          <w:sz w:val="24"/>
          <w:szCs w:val="21"/>
        </w:rPr>
        <w:fldChar w:fldCharType="separate"/>
      </w:r>
      <w:r>
        <w:rPr>
          <w:sz w:val="24"/>
          <w:szCs w:val="21"/>
        </w:rPr>
        <w:t>15</w:t>
      </w:r>
      <w:r>
        <w:rPr>
          <w:sz w:val="24"/>
          <w:szCs w:val="21"/>
        </w:rPr>
        <w:fldChar w:fldCharType="end"/>
      </w:r>
      <w:r>
        <w:rPr>
          <w:rFonts w:hint="eastAsia" w:ascii="仿宋_GB2312" w:hAnsi="仿宋_GB2312" w:eastAsia="仿宋_GB2312" w:cs="仿宋_GB2312"/>
          <w:sz w:val="24"/>
          <w:szCs w:val="21"/>
        </w:rPr>
        <w:fldChar w:fldCharType="end"/>
      </w:r>
    </w:p>
    <w:p>
      <w:pPr>
        <w:pStyle w:val="5"/>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_Toc9756 </w:instrText>
      </w:r>
      <w:r>
        <w:rPr>
          <w:rFonts w:hint="eastAsia" w:ascii="仿宋_GB2312" w:hAnsi="仿宋_GB2312" w:eastAsia="仿宋_GB2312" w:cs="仿宋_GB2312"/>
          <w:sz w:val="24"/>
          <w:szCs w:val="21"/>
        </w:rPr>
        <w:fldChar w:fldCharType="separate"/>
      </w:r>
      <w:r>
        <w:rPr>
          <w:rFonts w:hint="eastAsia" w:ascii="方正黑体简体" w:hAnsi="方正黑体简体" w:eastAsia="方正黑体简体" w:cs="方正黑体简体"/>
          <w:sz w:val="24"/>
          <w:szCs w:val="21"/>
        </w:rPr>
        <w:t>5 应急处置程序</w:t>
      </w:r>
      <w:r>
        <w:rPr>
          <w:sz w:val="24"/>
          <w:szCs w:val="21"/>
        </w:rPr>
        <w:tab/>
      </w:r>
      <w:r>
        <w:rPr>
          <w:sz w:val="24"/>
          <w:szCs w:val="21"/>
        </w:rPr>
        <w:fldChar w:fldCharType="begin"/>
      </w:r>
      <w:r>
        <w:rPr>
          <w:sz w:val="24"/>
          <w:szCs w:val="21"/>
        </w:rPr>
        <w:instrText xml:space="preserve"> PAGEREF _Toc9756 \h </w:instrText>
      </w:r>
      <w:r>
        <w:rPr>
          <w:sz w:val="24"/>
          <w:szCs w:val="21"/>
        </w:rPr>
        <w:fldChar w:fldCharType="separate"/>
      </w:r>
      <w:r>
        <w:rPr>
          <w:sz w:val="24"/>
          <w:szCs w:val="21"/>
        </w:rPr>
        <w:t>16</w:t>
      </w:r>
      <w:r>
        <w:rPr>
          <w:sz w:val="24"/>
          <w:szCs w:val="21"/>
        </w:rPr>
        <w:fldChar w:fldCharType="end"/>
      </w:r>
      <w:r>
        <w:rPr>
          <w:rFonts w:hint="eastAsia" w:ascii="仿宋_GB2312" w:hAnsi="仿宋_GB2312" w:eastAsia="仿宋_GB2312" w:cs="仿宋_GB2312"/>
          <w:sz w:val="24"/>
          <w:szCs w:val="21"/>
        </w:rPr>
        <w:fldChar w:fldCharType="end"/>
      </w:r>
    </w:p>
    <w:p>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_Toc32503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5.1 响应主体</w:t>
      </w:r>
      <w:r>
        <w:rPr>
          <w:sz w:val="24"/>
          <w:szCs w:val="21"/>
        </w:rPr>
        <w:tab/>
      </w:r>
      <w:r>
        <w:rPr>
          <w:sz w:val="24"/>
          <w:szCs w:val="21"/>
        </w:rPr>
        <w:fldChar w:fldCharType="begin"/>
      </w:r>
      <w:r>
        <w:rPr>
          <w:sz w:val="24"/>
          <w:szCs w:val="21"/>
        </w:rPr>
        <w:instrText xml:space="preserve"> PAGEREF _Toc32503 \h </w:instrText>
      </w:r>
      <w:r>
        <w:rPr>
          <w:sz w:val="24"/>
          <w:szCs w:val="21"/>
        </w:rPr>
        <w:fldChar w:fldCharType="separate"/>
      </w:r>
      <w:r>
        <w:rPr>
          <w:sz w:val="24"/>
          <w:szCs w:val="21"/>
        </w:rPr>
        <w:t>16</w:t>
      </w:r>
      <w:r>
        <w:rPr>
          <w:sz w:val="24"/>
          <w:szCs w:val="21"/>
        </w:rPr>
        <w:fldChar w:fldCharType="end"/>
      </w:r>
      <w:r>
        <w:rPr>
          <w:rFonts w:hint="eastAsia" w:ascii="仿宋_GB2312" w:hAnsi="仿宋_GB2312" w:eastAsia="仿宋_GB2312" w:cs="仿宋_GB2312"/>
          <w:sz w:val="24"/>
          <w:szCs w:val="21"/>
        </w:rPr>
        <w:fldChar w:fldCharType="end"/>
      </w:r>
    </w:p>
    <w:p>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_Toc22203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5.2 响应程序</w:t>
      </w:r>
      <w:r>
        <w:rPr>
          <w:sz w:val="24"/>
          <w:szCs w:val="21"/>
        </w:rPr>
        <w:tab/>
      </w:r>
      <w:r>
        <w:rPr>
          <w:sz w:val="24"/>
          <w:szCs w:val="21"/>
        </w:rPr>
        <w:fldChar w:fldCharType="begin"/>
      </w:r>
      <w:r>
        <w:rPr>
          <w:sz w:val="24"/>
          <w:szCs w:val="21"/>
        </w:rPr>
        <w:instrText xml:space="preserve"> PAGEREF _Toc22203 \h </w:instrText>
      </w:r>
      <w:r>
        <w:rPr>
          <w:sz w:val="24"/>
          <w:szCs w:val="21"/>
        </w:rPr>
        <w:fldChar w:fldCharType="separate"/>
      </w:r>
      <w:r>
        <w:rPr>
          <w:sz w:val="24"/>
          <w:szCs w:val="21"/>
        </w:rPr>
        <w:t>17</w:t>
      </w:r>
      <w:r>
        <w:rPr>
          <w:sz w:val="24"/>
          <w:szCs w:val="21"/>
        </w:rPr>
        <w:fldChar w:fldCharType="end"/>
      </w:r>
      <w:r>
        <w:rPr>
          <w:rFonts w:hint="eastAsia" w:ascii="仿宋_GB2312" w:hAnsi="仿宋_GB2312" w:eastAsia="仿宋_GB2312" w:cs="仿宋_GB2312"/>
          <w:sz w:val="24"/>
          <w:szCs w:val="21"/>
        </w:rPr>
        <w:fldChar w:fldCharType="end"/>
      </w:r>
    </w:p>
    <w:p>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_Toc28836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5.3 现场应急处置方案</w:t>
      </w:r>
      <w:r>
        <w:rPr>
          <w:sz w:val="24"/>
          <w:szCs w:val="21"/>
        </w:rPr>
        <w:tab/>
      </w:r>
      <w:r>
        <w:rPr>
          <w:sz w:val="24"/>
          <w:szCs w:val="21"/>
        </w:rPr>
        <w:fldChar w:fldCharType="begin"/>
      </w:r>
      <w:r>
        <w:rPr>
          <w:sz w:val="24"/>
          <w:szCs w:val="21"/>
        </w:rPr>
        <w:instrText xml:space="preserve"> PAGEREF _Toc28836 \h </w:instrText>
      </w:r>
      <w:r>
        <w:rPr>
          <w:sz w:val="24"/>
          <w:szCs w:val="21"/>
        </w:rPr>
        <w:fldChar w:fldCharType="separate"/>
      </w:r>
      <w:r>
        <w:rPr>
          <w:sz w:val="24"/>
          <w:szCs w:val="21"/>
        </w:rPr>
        <w:t>18</w:t>
      </w:r>
      <w:r>
        <w:rPr>
          <w:sz w:val="24"/>
          <w:szCs w:val="21"/>
        </w:rPr>
        <w:fldChar w:fldCharType="end"/>
      </w:r>
      <w:r>
        <w:rPr>
          <w:rFonts w:hint="eastAsia" w:ascii="仿宋_GB2312" w:hAnsi="仿宋_GB2312" w:eastAsia="仿宋_GB2312" w:cs="仿宋_GB2312"/>
          <w:sz w:val="24"/>
          <w:szCs w:val="21"/>
        </w:rPr>
        <w:fldChar w:fldCharType="end"/>
      </w:r>
    </w:p>
    <w:p>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_Toc9918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5.4 信息发布与舆情应对</w:t>
      </w:r>
      <w:r>
        <w:rPr>
          <w:sz w:val="24"/>
          <w:szCs w:val="21"/>
        </w:rPr>
        <w:tab/>
      </w:r>
      <w:r>
        <w:rPr>
          <w:sz w:val="24"/>
          <w:szCs w:val="21"/>
        </w:rPr>
        <w:fldChar w:fldCharType="begin"/>
      </w:r>
      <w:r>
        <w:rPr>
          <w:sz w:val="24"/>
          <w:szCs w:val="21"/>
        </w:rPr>
        <w:instrText xml:space="preserve"> PAGEREF _Toc9918 \h </w:instrText>
      </w:r>
      <w:r>
        <w:rPr>
          <w:sz w:val="24"/>
          <w:szCs w:val="21"/>
        </w:rPr>
        <w:fldChar w:fldCharType="separate"/>
      </w:r>
      <w:r>
        <w:rPr>
          <w:sz w:val="24"/>
          <w:szCs w:val="21"/>
        </w:rPr>
        <w:t>23</w:t>
      </w:r>
      <w:r>
        <w:rPr>
          <w:sz w:val="24"/>
          <w:szCs w:val="21"/>
        </w:rPr>
        <w:fldChar w:fldCharType="end"/>
      </w:r>
      <w:r>
        <w:rPr>
          <w:rFonts w:hint="eastAsia" w:ascii="仿宋_GB2312" w:hAnsi="仿宋_GB2312" w:eastAsia="仿宋_GB2312" w:cs="仿宋_GB2312"/>
          <w:sz w:val="24"/>
          <w:szCs w:val="21"/>
        </w:rPr>
        <w:fldChar w:fldCharType="end"/>
      </w:r>
    </w:p>
    <w:p>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_Toc670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5.5 应急结束</w:t>
      </w:r>
      <w:r>
        <w:rPr>
          <w:sz w:val="24"/>
          <w:szCs w:val="21"/>
        </w:rPr>
        <w:tab/>
      </w:r>
      <w:r>
        <w:rPr>
          <w:sz w:val="24"/>
          <w:szCs w:val="21"/>
        </w:rPr>
        <w:fldChar w:fldCharType="begin"/>
      </w:r>
      <w:r>
        <w:rPr>
          <w:sz w:val="24"/>
          <w:szCs w:val="21"/>
        </w:rPr>
        <w:instrText xml:space="preserve"> PAGEREF _Toc670 \h </w:instrText>
      </w:r>
      <w:r>
        <w:rPr>
          <w:sz w:val="24"/>
          <w:szCs w:val="21"/>
        </w:rPr>
        <w:fldChar w:fldCharType="separate"/>
      </w:r>
      <w:r>
        <w:rPr>
          <w:sz w:val="24"/>
          <w:szCs w:val="21"/>
        </w:rPr>
        <w:t>23</w:t>
      </w:r>
      <w:r>
        <w:rPr>
          <w:sz w:val="24"/>
          <w:szCs w:val="21"/>
        </w:rPr>
        <w:fldChar w:fldCharType="end"/>
      </w:r>
      <w:r>
        <w:rPr>
          <w:rFonts w:hint="eastAsia" w:ascii="仿宋_GB2312" w:hAnsi="仿宋_GB2312" w:eastAsia="仿宋_GB2312" w:cs="仿宋_GB2312"/>
          <w:sz w:val="24"/>
          <w:szCs w:val="21"/>
        </w:rPr>
        <w:fldChar w:fldCharType="end"/>
      </w:r>
    </w:p>
    <w:p>
      <w:pPr>
        <w:pStyle w:val="5"/>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_Toc5993 </w:instrText>
      </w:r>
      <w:r>
        <w:rPr>
          <w:rFonts w:hint="eastAsia" w:ascii="仿宋_GB2312" w:hAnsi="仿宋_GB2312" w:eastAsia="仿宋_GB2312" w:cs="仿宋_GB2312"/>
          <w:sz w:val="24"/>
          <w:szCs w:val="21"/>
        </w:rPr>
        <w:fldChar w:fldCharType="separate"/>
      </w:r>
      <w:r>
        <w:rPr>
          <w:rFonts w:hint="eastAsia" w:ascii="方正黑体简体" w:hAnsi="方正黑体简体" w:eastAsia="方正黑体简体" w:cs="方正黑体简体"/>
          <w:sz w:val="24"/>
          <w:szCs w:val="21"/>
        </w:rPr>
        <w:t>6 后期处置</w:t>
      </w:r>
      <w:r>
        <w:rPr>
          <w:sz w:val="24"/>
          <w:szCs w:val="21"/>
        </w:rPr>
        <w:tab/>
      </w:r>
      <w:r>
        <w:rPr>
          <w:sz w:val="24"/>
          <w:szCs w:val="21"/>
        </w:rPr>
        <w:fldChar w:fldCharType="begin"/>
      </w:r>
      <w:r>
        <w:rPr>
          <w:sz w:val="24"/>
          <w:szCs w:val="21"/>
        </w:rPr>
        <w:instrText xml:space="preserve"> PAGEREF _Toc5993 \h </w:instrText>
      </w:r>
      <w:r>
        <w:rPr>
          <w:sz w:val="24"/>
          <w:szCs w:val="21"/>
        </w:rPr>
        <w:fldChar w:fldCharType="separate"/>
      </w:r>
      <w:r>
        <w:rPr>
          <w:sz w:val="24"/>
          <w:szCs w:val="21"/>
        </w:rPr>
        <w:t>24</w:t>
      </w:r>
      <w:r>
        <w:rPr>
          <w:sz w:val="24"/>
          <w:szCs w:val="21"/>
        </w:rPr>
        <w:fldChar w:fldCharType="end"/>
      </w:r>
      <w:r>
        <w:rPr>
          <w:rFonts w:hint="eastAsia" w:ascii="仿宋_GB2312" w:hAnsi="仿宋_GB2312" w:eastAsia="仿宋_GB2312" w:cs="仿宋_GB2312"/>
          <w:sz w:val="24"/>
          <w:szCs w:val="21"/>
        </w:rPr>
        <w:fldChar w:fldCharType="end"/>
      </w:r>
    </w:p>
    <w:p>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_Toc14067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6.1 善后处置</w:t>
      </w:r>
      <w:r>
        <w:rPr>
          <w:sz w:val="24"/>
          <w:szCs w:val="21"/>
        </w:rPr>
        <w:tab/>
      </w:r>
      <w:r>
        <w:rPr>
          <w:sz w:val="24"/>
          <w:szCs w:val="21"/>
        </w:rPr>
        <w:fldChar w:fldCharType="begin"/>
      </w:r>
      <w:r>
        <w:rPr>
          <w:sz w:val="24"/>
          <w:szCs w:val="21"/>
        </w:rPr>
        <w:instrText xml:space="preserve"> PAGEREF _Toc14067 \h </w:instrText>
      </w:r>
      <w:r>
        <w:rPr>
          <w:sz w:val="24"/>
          <w:szCs w:val="21"/>
        </w:rPr>
        <w:fldChar w:fldCharType="separate"/>
      </w:r>
      <w:r>
        <w:rPr>
          <w:sz w:val="24"/>
          <w:szCs w:val="21"/>
        </w:rPr>
        <w:t>24</w:t>
      </w:r>
      <w:r>
        <w:rPr>
          <w:sz w:val="24"/>
          <w:szCs w:val="21"/>
        </w:rPr>
        <w:fldChar w:fldCharType="end"/>
      </w:r>
      <w:r>
        <w:rPr>
          <w:rFonts w:hint="eastAsia" w:ascii="仿宋_GB2312" w:hAnsi="仿宋_GB2312" w:eastAsia="仿宋_GB2312" w:cs="仿宋_GB2312"/>
          <w:sz w:val="24"/>
          <w:szCs w:val="21"/>
        </w:rPr>
        <w:fldChar w:fldCharType="end"/>
      </w:r>
    </w:p>
    <w:p>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_Toc30979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6.2 总结与评估</w:t>
      </w:r>
      <w:r>
        <w:rPr>
          <w:sz w:val="24"/>
          <w:szCs w:val="21"/>
        </w:rPr>
        <w:tab/>
      </w:r>
      <w:r>
        <w:rPr>
          <w:sz w:val="24"/>
          <w:szCs w:val="21"/>
        </w:rPr>
        <w:fldChar w:fldCharType="begin"/>
      </w:r>
      <w:r>
        <w:rPr>
          <w:sz w:val="24"/>
          <w:szCs w:val="21"/>
        </w:rPr>
        <w:instrText xml:space="preserve"> PAGEREF _Toc30979 \h </w:instrText>
      </w:r>
      <w:r>
        <w:rPr>
          <w:sz w:val="24"/>
          <w:szCs w:val="21"/>
        </w:rPr>
        <w:fldChar w:fldCharType="separate"/>
      </w:r>
      <w:r>
        <w:rPr>
          <w:sz w:val="24"/>
          <w:szCs w:val="21"/>
        </w:rPr>
        <w:t>24</w:t>
      </w:r>
      <w:r>
        <w:rPr>
          <w:sz w:val="24"/>
          <w:szCs w:val="21"/>
        </w:rPr>
        <w:fldChar w:fldCharType="end"/>
      </w:r>
      <w:r>
        <w:rPr>
          <w:rFonts w:hint="eastAsia" w:ascii="仿宋_GB2312" w:hAnsi="仿宋_GB2312" w:eastAsia="仿宋_GB2312" w:cs="仿宋_GB2312"/>
          <w:sz w:val="24"/>
          <w:szCs w:val="21"/>
        </w:rPr>
        <w:fldChar w:fldCharType="end"/>
      </w:r>
    </w:p>
    <w:p>
      <w:pPr>
        <w:pStyle w:val="5"/>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_Toc24958 </w:instrText>
      </w:r>
      <w:r>
        <w:rPr>
          <w:rFonts w:hint="eastAsia" w:ascii="仿宋_GB2312" w:hAnsi="仿宋_GB2312" w:eastAsia="仿宋_GB2312" w:cs="仿宋_GB2312"/>
          <w:sz w:val="24"/>
          <w:szCs w:val="21"/>
        </w:rPr>
        <w:fldChar w:fldCharType="separate"/>
      </w:r>
      <w:r>
        <w:rPr>
          <w:rFonts w:hint="eastAsia" w:ascii="方正黑体简体" w:hAnsi="方正黑体简体" w:eastAsia="方正黑体简体" w:cs="方正黑体简体"/>
          <w:sz w:val="24"/>
          <w:szCs w:val="21"/>
        </w:rPr>
        <w:t>7 保障措施</w:t>
      </w:r>
      <w:r>
        <w:rPr>
          <w:sz w:val="24"/>
          <w:szCs w:val="21"/>
        </w:rPr>
        <w:tab/>
      </w:r>
      <w:r>
        <w:rPr>
          <w:sz w:val="24"/>
          <w:szCs w:val="21"/>
        </w:rPr>
        <w:fldChar w:fldCharType="begin"/>
      </w:r>
      <w:r>
        <w:rPr>
          <w:sz w:val="24"/>
          <w:szCs w:val="21"/>
        </w:rPr>
        <w:instrText xml:space="preserve"> PAGEREF _Toc24958 \h </w:instrText>
      </w:r>
      <w:r>
        <w:rPr>
          <w:sz w:val="24"/>
          <w:szCs w:val="21"/>
        </w:rPr>
        <w:fldChar w:fldCharType="separate"/>
      </w:r>
      <w:r>
        <w:rPr>
          <w:sz w:val="24"/>
          <w:szCs w:val="21"/>
        </w:rPr>
        <w:t>25</w:t>
      </w:r>
      <w:r>
        <w:rPr>
          <w:sz w:val="24"/>
          <w:szCs w:val="21"/>
        </w:rPr>
        <w:fldChar w:fldCharType="end"/>
      </w:r>
      <w:r>
        <w:rPr>
          <w:rFonts w:hint="eastAsia" w:ascii="仿宋_GB2312" w:hAnsi="仿宋_GB2312" w:eastAsia="仿宋_GB2312" w:cs="仿宋_GB2312"/>
          <w:sz w:val="24"/>
          <w:szCs w:val="21"/>
        </w:rPr>
        <w:fldChar w:fldCharType="end"/>
      </w:r>
    </w:p>
    <w:p>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_Toc10748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7.1 通信保障</w:t>
      </w:r>
      <w:r>
        <w:rPr>
          <w:sz w:val="24"/>
          <w:szCs w:val="21"/>
        </w:rPr>
        <w:tab/>
      </w:r>
      <w:r>
        <w:rPr>
          <w:sz w:val="24"/>
          <w:szCs w:val="21"/>
        </w:rPr>
        <w:fldChar w:fldCharType="begin"/>
      </w:r>
      <w:r>
        <w:rPr>
          <w:sz w:val="24"/>
          <w:szCs w:val="21"/>
        </w:rPr>
        <w:instrText xml:space="preserve"> PAGEREF _Toc10748 \h </w:instrText>
      </w:r>
      <w:r>
        <w:rPr>
          <w:sz w:val="24"/>
          <w:szCs w:val="21"/>
        </w:rPr>
        <w:fldChar w:fldCharType="separate"/>
      </w:r>
      <w:r>
        <w:rPr>
          <w:sz w:val="24"/>
          <w:szCs w:val="21"/>
        </w:rPr>
        <w:t>25</w:t>
      </w:r>
      <w:r>
        <w:rPr>
          <w:sz w:val="24"/>
          <w:szCs w:val="21"/>
        </w:rPr>
        <w:fldChar w:fldCharType="end"/>
      </w:r>
      <w:r>
        <w:rPr>
          <w:rFonts w:hint="eastAsia" w:ascii="仿宋_GB2312" w:hAnsi="仿宋_GB2312" w:eastAsia="仿宋_GB2312" w:cs="仿宋_GB2312"/>
          <w:sz w:val="24"/>
          <w:szCs w:val="21"/>
        </w:rPr>
        <w:fldChar w:fldCharType="end"/>
      </w:r>
    </w:p>
    <w:p>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_Toc24802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7.2 应急队伍保障</w:t>
      </w:r>
      <w:r>
        <w:rPr>
          <w:sz w:val="24"/>
          <w:szCs w:val="21"/>
        </w:rPr>
        <w:tab/>
      </w:r>
      <w:r>
        <w:rPr>
          <w:sz w:val="24"/>
          <w:szCs w:val="21"/>
        </w:rPr>
        <w:fldChar w:fldCharType="begin"/>
      </w:r>
      <w:r>
        <w:rPr>
          <w:sz w:val="24"/>
          <w:szCs w:val="21"/>
        </w:rPr>
        <w:instrText xml:space="preserve"> PAGEREF _Toc24802 \h </w:instrText>
      </w:r>
      <w:r>
        <w:rPr>
          <w:sz w:val="24"/>
          <w:szCs w:val="21"/>
        </w:rPr>
        <w:fldChar w:fldCharType="separate"/>
      </w:r>
      <w:r>
        <w:rPr>
          <w:sz w:val="24"/>
          <w:szCs w:val="21"/>
        </w:rPr>
        <w:t>25</w:t>
      </w:r>
      <w:r>
        <w:rPr>
          <w:sz w:val="24"/>
          <w:szCs w:val="21"/>
        </w:rPr>
        <w:fldChar w:fldCharType="end"/>
      </w:r>
      <w:r>
        <w:rPr>
          <w:rFonts w:hint="eastAsia" w:ascii="仿宋_GB2312" w:hAnsi="仿宋_GB2312" w:eastAsia="仿宋_GB2312" w:cs="仿宋_GB2312"/>
          <w:sz w:val="24"/>
          <w:szCs w:val="21"/>
        </w:rPr>
        <w:fldChar w:fldCharType="end"/>
      </w:r>
    </w:p>
    <w:p>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_Toc2173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7.3 应急装备和物资保障</w:t>
      </w:r>
      <w:r>
        <w:rPr>
          <w:sz w:val="24"/>
          <w:szCs w:val="21"/>
        </w:rPr>
        <w:tab/>
      </w:r>
      <w:r>
        <w:rPr>
          <w:sz w:val="24"/>
          <w:szCs w:val="21"/>
        </w:rPr>
        <w:fldChar w:fldCharType="begin"/>
      </w:r>
      <w:r>
        <w:rPr>
          <w:sz w:val="24"/>
          <w:szCs w:val="21"/>
        </w:rPr>
        <w:instrText xml:space="preserve"> PAGEREF _Toc2173 \h </w:instrText>
      </w:r>
      <w:r>
        <w:rPr>
          <w:sz w:val="24"/>
          <w:szCs w:val="21"/>
        </w:rPr>
        <w:fldChar w:fldCharType="separate"/>
      </w:r>
      <w:r>
        <w:rPr>
          <w:sz w:val="24"/>
          <w:szCs w:val="21"/>
        </w:rPr>
        <w:t>25</w:t>
      </w:r>
      <w:r>
        <w:rPr>
          <w:sz w:val="24"/>
          <w:szCs w:val="21"/>
        </w:rPr>
        <w:fldChar w:fldCharType="end"/>
      </w:r>
      <w:r>
        <w:rPr>
          <w:rFonts w:hint="eastAsia" w:ascii="仿宋_GB2312" w:hAnsi="仿宋_GB2312" w:eastAsia="仿宋_GB2312" w:cs="仿宋_GB2312"/>
          <w:sz w:val="24"/>
          <w:szCs w:val="21"/>
        </w:rPr>
        <w:fldChar w:fldCharType="end"/>
      </w:r>
    </w:p>
    <w:p>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_Toc29811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7.4 应急经费保障</w:t>
      </w:r>
      <w:r>
        <w:rPr>
          <w:sz w:val="24"/>
          <w:szCs w:val="21"/>
        </w:rPr>
        <w:tab/>
      </w:r>
      <w:r>
        <w:rPr>
          <w:sz w:val="24"/>
          <w:szCs w:val="21"/>
        </w:rPr>
        <w:fldChar w:fldCharType="begin"/>
      </w:r>
      <w:r>
        <w:rPr>
          <w:sz w:val="24"/>
          <w:szCs w:val="21"/>
        </w:rPr>
        <w:instrText xml:space="preserve"> PAGEREF _Toc29811 \h </w:instrText>
      </w:r>
      <w:r>
        <w:rPr>
          <w:sz w:val="24"/>
          <w:szCs w:val="21"/>
        </w:rPr>
        <w:fldChar w:fldCharType="separate"/>
      </w:r>
      <w:r>
        <w:rPr>
          <w:sz w:val="24"/>
          <w:szCs w:val="21"/>
        </w:rPr>
        <w:t>26</w:t>
      </w:r>
      <w:r>
        <w:rPr>
          <w:sz w:val="24"/>
          <w:szCs w:val="21"/>
        </w:rPr>
        <w:fldChar w:fldCharType="end"/>
      </w:r>
      <w:r>
        <w:rPr>
          <w:rFonts w:hint="eastAsia" w:ascii="仿宋_GB2312" w:hAnsi="仿宋_GB2312" w:eastAsia="仿宋_GB2312" w:cs="仿宋_GB2312"/>
          <w:sz w:val="24"/>
          <w:szCs w:val="21"/>
        </w:rPr>
        <w:fldChar w:fldCharType="end"/>
      </w:r>
    </w:p>
    <w:p>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_Toc28977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7.5 交通运输保障</w:t>
      </w:r>
      <w:r>
        <w:rPr>
          <w:sz w:val="24"/>
          <w:szCs w:val="21"/>
        </w:rPr>
        <w:tab/>
      </w:r>
      <w:r>
        <w:rPr>
          <w:sz w:val="24"/>
          <w:szCs w:val="21"/>
        </w:rPr>
        <w:fldChar w:fldCharType="begin"/>
      </w:r>
      <w:r>
        <w:rPr>
          <w:sz w:val="24"/>
          <w:szCs w:val="21"/>
        </w:rPr>
        <w:instrText xml:space="preserve"> PAGEREF _Toc28977 \h </w:instrText>
      </w:r>
      <w:r>
        <w:rPr>
          <w:sz w:val="24"/>
          <w:szCs w:val="21"/>
        </w:rPr>
        <w:fldChar w:fldCharType="separate"/>
      </w:r>
      <w:r>
        <w:rPr>
          <w:sz w:val="24"/>
          <w:szCs w:val="21"/>
        </w:rPr>
        <w:t>26</w:t>
      </w:r>
      <w:r>
        <w:rPr>
          <w:sz w:val="24"/>
          <w:szCs w:val="21"/>
        </w:rPr>
        <w:fldChar w:fldCharType="end"/>
      </w:r>
      <w:r>
        <w:rPr>
          <w:rFonts w:hint="eastAsia" w:ascii="仿宋_GB2312" w:hAnsi="仿宋_GB2312" w:eastAsia="仿宋_GB2312" w:cs="仿宋_GB2312"/>
          <w:sz w:val="24"/>
          <w:szCs w:val="21"/>
        </w:rPr>
        <w:fldChar w:fldCharType="end"/>
      </w:r>
    </w:p>
    <w:p>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_Toc15943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7.6 医疗卫生保障</w:t>
      </w:r>
      <w:r>
        <w:rPr>
          <w:sz w:val="24"/>
          <w:szCs w:val="21"/>
        </w:rPr>
        <w:tab/>
      </w:r>
      <w:r>
        <w:rPr>
          <w:sz w:val="24"/>
          <w:szCs w:val="21"/>
        </w:rPr>
        <w:fldChar w:fldCharType="begin"/>
      </w:r>
      <w:r>
        <w:rPr>
          <w:sz w:val="24"/>
          <w:szCs w:val="21"/>
        </w:rPr>
        <w:instrText xml:space="preserve"> PAGEREF _Toc15943 \h </w:instrText>
      </w:r>
      <w:r>
        <w:rPr>
          <w:sz w:val="24"/>
          <w:szCs w:val="21"/>
        </w:rPr>
        <w:fldChar w:fldCharType="separate"/>
      </w:r>
      <w:r>
        <w:rPr>
          <w:sz w:val="24"/>
          <w:szCs w:val="21"/>
        </w:rPr>
        <w:t>27</w:t>
      </w:r>
      <w:r>
        <w:rPr>
          <w:sz w:val="24"/>
          <w:szCs w:val="21"/>
        </w:rPr>
        <w:fldChar w:fldCharType="end"/>
      </w:r>
      <w:r>
        <w:rPr>
          <w:rFonts w:hint="eastAsia" w:ascii="仿宋_GB2312" w:hAnsi="仿宋_GB2312" w:eastAsia="仿宋_GB2312" w:cs="仿宋_GB2312"/>
          <w:sz w:val="24"/>
          <w:szCs w:val="21"/>
        </w:rPr>
        <w:fldChar w:fldCharType="end"/>
      </w:r>
    </w:p>
    <w:p>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_Toc15746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7.7 治安保障</w:t>
      </w:r>
      <w:r>
        <w:rPr>
          <w:sz w:val="24"/>
          <w:szCs w:val="21"/>
        </w:rPr>
        <w:tab/>
      </w:r>
      <w:r>
        <w:rPr>
          <w:sz w:val="24"/>
          <w:szCs w:val="21"/>
        </w:rPr>
        <w:fldChar w:fldCharType="begin"/>
      </w:r>
      <w:r>
        <w:rPr>
          <w:sz w:val="24"/>
          <w:szCs w:val="21"/>
        </w:rPr>
        <w:instrText xml:space="preserve"> PAGEREF _Toc15746 \h </w:instrText>
      </w:r>
      <w:r>
        <w:rPr>
          <w:sz w:val="24"/>
          <w:szCs w:val="21"/>
        </w:rPr>
        <w:fldChar w:fldCharType="separate"/>
      </w:r>
      <w:r>
        <w:rPr>
          <w:sz w:val="24"/>
          <w:szCs w:val="21"/>
        </w:rPr>
        <w:t>27</w:t>
      </w:r>
      <w:r>
        <w:rPr>
          <w:sz w:val="24"/>
          <w:szCs w:val="21"/>
        </w:rPr>
        <w:fldChar w:fldCharType="end"/>
      </w:r>
      <w:r>
        <w:rPr>
          <w:rFonts w:hint="eastAsia" w:ascii="仿宋_GB2312" w:hAnsi="仿宋_GB2312" w:eastAsia="仿宋_GB2312" w:cs="仿宋_GB2312"/>
          <w:sz w:val="24"/>
          <w:szCs w:val="21"/>
        </w:rPr>
        <w:fldChar w:fldCharType="end"/>
      </w:r>
    </w:p>
    <w:p>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_Toc15118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7.</w:t>
      </w:r>
      <w:r>
        <w:rPr>
          <w:rFonts w:hint="eastAsia" w:ascii="楷体_GB2312" w:hAnsi="楷体_GB2312" w:eastAsia="楷体_GB2312" w:cs="楷体_GB2312"/>
          <w:sz w:val="24"/>
          <w:szCs w:val="21"/>
          <w:lang w:val="en-US" w:eastAsia="zh-CN"/>
        </w:rPr>
        <w:t>8</w:t>
      </w:r>
      <w:r>
        <w:rPr>
          <w:rFonts w:hint="eastAsia" w:ascii="楷体_GB2312" w:hAnsi="楷体_GB2312" w:eastAsia="楷体_GB2312" w:cs="楷体_GB2312"/>
          <w:sz w:val="24"/>
          <w:szCs w:val="21"/>
        </w:rPr>
        <w:t xml:space="preserve"> </w:t>
      </w:r>
      <w:r>
        <w:rPr>
          <w:rFonts w:hint="eastAsia" w:ascii="楷体_GB2312" w:hAnsi="楷体_GB2312" w:eastAsia="楷体_GB2312" w:cs="楷体_GB2312"/>
          <w:sz w:val="24"/>
          <w:szCs w:val="21"/>
          <w:lang w:val="en-US" w:eastAsia="zh-CN"/>
        </w:rPr>
        <w:t>其他</w:t>
      </w:r>
      <w:r>
        <w:rPr>
          <w:rFonts w:hint="eastAsia" w:ascii="楷体_GB2312" w:hAnsi="楷体_GB2312" w:eastAsia="楷体_GB2312" w:cs="楷体_GB2312"/>
          <w:sz w:val="24"/>
          <w:szCs w:val="21"/>
        </w:rPr>
        <w:t>保障</w:t>
      </w:r>
      <w:r>
        <w:rPr>
          <w:sz w:val="24"/>
          <w:szCs w:val="21"/>
        </w:rPr>
        <w:tab/>
      </w:r>
      <w:r>
        <w:rPr>
          <w:sz w:val="24"/>
          <w:szCs w:val="21"/>
        </w:rPr>
        <w:fldChar w:fldCharType="begin"/>
      </w:r>
      <w:r>
        <w:rPr>
          <w:sz w:val="24"/>
          <w:szCs w:val="21"/>
        </w:rPr>
        <w:instrText xml:space="preserve"> PAGEREF _Toc15118 \h </w:instrText>
      </w:r>
      <w:r>
        <w:rPr>
          <w:sz w:val="24"/>
          <w:szCs w:val="21"/>
        </w:rPr>
        <w:fldChar w:fldCharType="separate"/>
      </w:r>
      <w:r>
        <w:rPr>
          <w:sz w:val="24"/>
          <w:szCs w:val="21"/>
        </w:rPr>
        <w:t>27</w:t>
      </w:r>
      <w:r>
        <w:rPr>
          <w:sz w:val="24"/>
          <w:szCs w:val="21"/>
        </w:rPr>
        <w:fldChar w:fldCharType="end"/>
      </w:r>
      <w:r>
        <w:rPr>
          <w:rFonts w:hint="eastAsia" w:ascii="仿宋_GB2312" w:hAnsi="仿宋_GB2312" w:eastAsia="仿宋_GB2312" w:cs="仿宋_GB2312"/>
          <w:sz w:val="24"/>
          <w:szCs w:val="21"/>
        </w:rPr>
        <w:fldChar w:fldCharType="end"/>
      </w:r>
    </w:p>
    <w:p>
      <w:pPr>
        <w:pStyle w:val="5"/>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_Toc1189 </w:instrText>
      </w:r>
      <w:r>
        <w:rPr>
          <w:rFonts w:hint="eastAsia" w:ascii="仿宋_GB2312" w:hAnsi="仿宋_GB2312" w:eastAsia="仿宋_GB2312" w:cs="仿宋_GB2312"/>
          <w:sz w:val="24"/>
          <w:szCs w:val="21"/>
        </w:rPr>
        <w:fldChar w:fldCharType="separate"/>
      </w:r>
      <w:r>
        <w:rPr>
          <w:rFonts w:hint="eastAsia" w:ascii="方正黑体简体" w:hAnsi="方正黑体简体" w:eastAsia="方正黑体简体" w:cs="方正黑体简体"/>
          <w:sz w:val="24"/>
          <w:szCs w:val="21"/>
        </w:rPr>
        <w:t>8 预案管理</w:t>
      </w:r>
      <w:r>
        <w:rPr>
          <w:sz w:val="24"/>
          <w:szCs w:val="21"/>
        </w:rPr>
        <w:tab/>
      </w:r>
      <w:r>
        <w:rPr>
          <w:sz w:val="24"/>
          <w:szCs w:val="21"/>
        </w:rPr>
        <w:fldChar w:fldCharType="begin"/>
      </w:r>
      <w:r>
        <w:rPr>
          <w:sz w:val="24"/>
          <w:szCs w:val="21"/>
        </w:rPr>
        <w:instrText xml:space="preserve"> PAGEREF _Toc1189 \h </w:instrText>
      </w:r>
      <w:r>
        <w:rPr>
          <w:sz w:val="24"/>
          <w:szCs w:val="21"/>
        </w:rPr>
        <w:fldChar w:fldCharType="separate"/>
      </w:r>
      <w:r>
        <w:rPr>
          <w:sz w:val="24"/>
          <w:szCs w:val="21"/>
        </w:rPr>
        <w:t>28</w:t>
      </w:r>
      <w:r>
        <w:rPr>
          <w:sz w:val="24"/>
          <w:szCs w:val="21"/>
        </w:rPr>
        <w:fldChar w:fldCharType="end"/>
      </w:r>
      <w:r>
        <w:rPr>
          <w:rFonts w:hint="eastAsia" w:ascii="仿宋_GB2312" w:hAnsi="仿宋_GB2312" w:eastAsia="仿宋_GB2312" w:cs="仿宋_GB2312"/>
          <w:sz w:val="24"/>
          <w:szCs w:val="21"/>
        </w:rPr>
        <w:fldChar w:fldCharType="end"/>
      </w:r>
    </w:p>
    <w:p>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_Toc1372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8.1 培训宣传</w:t>
      </w:r>
      <w:r>
        <w:rPr>
          <w:sz w:val="24"/>
          <w:szCs w:val="21"/>
        </w:rPr>
        <w:tab/>
      </w:r>
      <w:r>
        <w:rPr>
          <w:sz w:val="24"/>
          <w:szCs w:val="21"/>
        </w:rPr>
        <w:fldChar w:fldCharType="begin"/>
      </w:r>
      <w:r>
        <w:rPr>
          <w:sz w:val="24"/>
          <w:szCs w:val="21"/>
        </w:rPr>
        <w:instrText xml:space="preserve"> PAGEREF _Toc1372 \h </w:instrText>
      </w:r>
      <w:r>
        <w:rPr>
          <w:sz w:val="24"/>
          <w:szCs w:val="21"/>
        </w:rPr>
        <w:fldChar w:fldCharType="separate"/>
      </w:r>
      <w:r>
        <w:rPr>
          <w:sz w:val="24"/>
          <w:szCs w:val="21"/>
        </w:rPr>
        <w:t>28</w:t>
      </w:r>
      <w:r>
        <w:rPr>
          <w:sz w:val="24"/>
          <w:szCs w:val="21"/>
        </w:rPr>
        <w:fldChar w:fldCharType="end"/>
      </w:r>
      <w:r>
        <w:rPr>
          <w:rFonts w:hint="eastAsia" w:ascii="仿宋_GB2312" w:hAnsi="仿宋_GB2312" w:eastAsia="仿宋_GB2312" w:cs="仿宋_GB2312"/>
          <w:sz w:val="24"/>
          <w:szCs w:val="21"/>
        </w:rPr>
        <w:fldChar w:fldCharType="end"/>
      </w:r>
    </w:p>
    <w:p>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_Toc15917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8.2 预案演练</w:t>
      </w:r>
      <w:r>
        <w:rPr>
          <w:sz w:val="24"/>
          <w:szCs w:val="21"/>
        </w:rPr>
        <w:tab/>
      </w:r>
      <w:r>
        <w:rPr>
          <w:sz w:val="24"/>
          <w:szCs w:val="21"/>
        </w:rPr>
        <w:fldChar w:fldCharType="begin"/>
      </w:r>
      <w:r>
        <w:rPr>
          <w:sz w:val="24"/>
          <w:szCs w:val="21"/>
        </w:rPr>
        <w:instrText xml:space="preserve"> PAGEREF _Toc15917 \h </w:instrText>
      </w:r>
      <w:r>
        <w:rPr>
          <w:sz w:val="24"/>
          <w:szCs w:val="21"/>
        </w:rPr>
        <w:fldChar w:fldCharType="separate"/>
      </w:r>
      <w:r>
        <w:rPr>
          <w:sz w:val="24"/>
          <w:szCs w:val="21"/>
        </w:rPr>
        <w:t>28</w:t>
      </w:r>
      <w:r>
        <w:rPr>
          <w:sz w:val="24"/>
          <w:szCs w:val="21"/>
        </w:rPr>
        <w:fldChar w:fldCharType="end"/>
      </w:r>
      <w:r>
        <w:rPr>
          <w:rFonts w:hint="eastAsia" w:ascii="仿宋_GB2312" w:hAnsi="仿宋_GB2312" w:eastAsia="仿宋_GB2312" w:cs="仿宋_GB2312"/>
          <w:sz w:val="24"/>
          <w:szCs w:val="21"/>
        </w:rPr>
        <w:fldChar w:fldCharType="end"/>
      </w:r>
    </w:p>
    <w:p>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_Toc10378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8.3 预案修订</w:t>
      </w:r>
      <w:r>
        <w:rPr>
          <w:sz w:val="24"/>
          <w:szCs w:val="21"/>
        </w:rPr>
        <w:tab/>
      </w:r>
      <w:r>
        <w:rPr>
          <w:sz w:val="24"/>
          <w:szCs w:val="21"/>
        </w:rPr>
        <w:fldChar w:fldCharType="begin"/>
      </w:r>
      <w:r>
        <w:rPr>
          <w:sz w:val="24"/>
          <w:szCs w:val="21"/>
        </w:rPr>
        <w:instrText xml:space="preserve"> PAGEREF _Toc10378 \h </w:instrText>
      </w:r>
      <w:r>
        <w:rPr>
          <w:sz w:val="24"/>
          <w:szCs w:val="21"/>
        </w:rPr>
        <w:fldChar w:fldCharType="separate"/>
      </w:r>
      <w:r>
        <w:rPr>
          <w:sz w:val="24"/>
          <w:szCs w:val="21"/>
        </w:rPr>
        <w:t>28</w:t>
      </w:r>
      <w:r>
        <w:rPr>
          <w:sz w:val="24"/>
          <w:szCs w:val="21"/>
        </w:rPr>
        <w:fldChar w:fldCharType="end"/>
      </w:r>
      <w:r>
        <w:rPr>
          <w:rFonts w:hint="eastAsia" w:ascii="仿宋_GB2312" w:hAnsi="仿宋_GB2312" w:eastAsia="仿宋_GB2312" w:cs="仿宋_GB2312"/>
          <w:sz w:val="24"/>
          <w:szCs w:val="21"/>
        </w:rPr>
        <w:fldChar w:fldCharType="end"/>
      </w:r>
    </w:p>
    <w:p>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_Toc6645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8.4 预案</w:t>
      </w:r>
      <w:r>
        <w:rPr>
          <w:rFonts w:hint="eastAsia" w:ascii="楷体_GB2312" w:hAnsi="楷体_GB2312" w:eastAsia="楷体_GB2312" w:cs="楷体_GB2312"/>
          <w:sz w:val="24"/>
          <w:szCs w:val="21"/>
          <w:lang w:val="en-US" w:eastAsia="zh-CN"/>
        </w:rPr>
        <w:t>衔接</w:t>
      </w:r>
      <w:r>
        <w:rPr>
          <w:sz w:val="24"/>
          <w:szCs w:val="21"/>
        </w:rPr>
        <w:tab/>
      </w:r>
      <w:r>
        <w:rPr>
          <w:sz w:val="24"/>
          <w:szCs w:val="21"/>
        </w:rPr>
        <w:fldChar w:fldCharType="begin"/>
      </w:r>
      <w:r>
        <w:rPr>
          <w:sz w:val="24"/>
          <w:szCs w:val="21"/>
        </w:rPr>
        <w:instrText xml:space="preserve"> PAGEREF _Toc6645 \h </w:instrText>
      </w:r>
      <w:r>
        <w:rPr>
          <w:sz w:val="24"/>
          <w:szCs w:val="21"/>
        </w:rPr>
        <w:fldChar w:fldCharType="separate"/>
      </w:r>
      <w:r>
        <w:rPr>
          <w:sz w:val="24"/>
          <w:szCs w:val="21"/>
        </w:rPr>
        <w:t>29</w:t>
      </w:r>
      <w:r>
        <w:rPr>
          <w:sz w:val="24"/>
          <w:szCs w:val="21"/>
        </w:rPr>
        <w:fldChar w:fldCharType="end"/>
      </w:r>
      <w:r>
        <w:rPr>
          <w:rFonts w:hint="eastAsia" w:ascii="仿宋_GB2312" w:hAnsi="仿宋_GB2312" w:eastAsia="仿宋_GB2312" w:cs="仿宋_GB2312"/>
          <w:sz w:val="24"/>
          <w:szCs w:val="21"/>
        </w:rPr>
        <w:fldChar w:fldCharType="end"/>
      </w:r>
    </w:p>
    <w:p>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_Toc10075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8.</w:t>
      </w:r>
      <w:r>
        <w:rPr>
          <w:rFonts w:hint="eastAsia" w:ascii="楷体_GB2312" w:hAnsi="楷体_GB2312" w:eastAsia="楷体_GB2312" w:cs="楷体_GB2312"/>
          <w:sz w:val="24"/>
          <w:szCs w:val="21"/>
          <w:lang w:val="en-US" w:eastAsia="zh-CN"/>
        </w:rPr>
        <w:t>5</w:t>
      </w:r>
      <w:r>
        <w:rPr>
          <w:rFonts w:hint="eastAsia" w:ascii="楷体_GB2312" w:hAnsi="楷体_GB2312" w:eastAsia="楷体_GB2312" w:cs="楷体_GB2312"/>
          <w:sz w:val="24"/>
          <w:szCs w:val="21"/>
        </w:rPr>
        <w:t xml:space="preserve"> </w:t>
      </w:r>
      <w:r>
        <w:rPr>
          <w:rFonts w:hint="eastAsia" w:ascii="楷体_GB2312" w:hAnsi="楷体_GB2312" w:eastAsia="楷体_GB2312" w:cs="楷体_GB2312"/>
          <w:sz w:val="24"/>
          <w:szCs w:val="21"/>
          <w:lang w:val="en-US" w:eastAsia="zh-CN"/>
        </w:rPr>
        <w:t>预案编制、备案与公布</w:t>
      </w:r>
      <w:r>
        <w:rPr>
          <w:sz w:val="24"/>
          <w:szCs w:val="21"/>
        </w:rPr>
        <w:tab/>
      </w:r>
      <w:r>
        <w:rPr>
          <w:sz w:val="24"/>
          <w:szCs w:val="21"/>
        </w:rPr>
        <w:fldChar w:fldCharType="begin"/>
      </w:r>
      <w:r>
        <w:rPr>
          <w:sz w:val="24"/>
          <w:szCs w:val="21"/>
        </w:rPr>
        <w:instrText xml:space="preserve"> PAGEREF _Toc10075 \h </w:instrText>
      </w:r>
      <w:r>
        <w:rPr>
          <w:sz w:val="24"/>
          <w:szCs w:val="21"/>
        </w:rPr>
        <w:fldChar w:fldCharType="separate"/>
      </w:r>
      <w:r>
        <w:rPr>
          <w:sz w:val="24"/>
          <w:szCs w:val="21"/>
        </w:rPr>
        <w:t>29</w:t>
      </w:r>
      <w:r>
        <w:rPr>
          <w:sz w:val="24"/>
          <w:szCs w:val="21"/>
        </w:rPr>
        <w:fldChar w:fldCharType="end"/>
      </w:r>
      <w:r>
        <w:rPr>
          <w:rFonts w:hint="eastAsia" w:ascii="仿宋_GB2312" w:hAnsi="仿宋_GB2312" w:eastAsia="仿宋_GB2312" w:cs="仿宋_GB2312"/>
          <w:sz w:val="24"/>
          <w:szCs w:val="21"/>
        </w:rPr>
        <w:fldChar w:fldCharType="end"/>
      </w:r>
    </w:p>
    <w:p>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_Toc16550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8.</w:t>
      </w:r>
      <w:r>
        <w:rPr>
          <w:rFonts w:hint="eastAsia" w:ascii="楷体_GB2312" w:hAnsi="楷体_GB2312" w:eastAsia="楷体_GB2312" w:cs="楷体_GB2312"/>
          <w:sz w:val="24"/>
          <w:szCs w:val="21"/>
          <w:lang w:val="en-US" w:eastAsia="zh-CN"/>
        </w:rPr>
        <w:t>6</w:t>
      </w:r>
      <w:r>
        <w:rPr>
          <w:rFonts w:hint="eastAsia" w:ascii="楷体_GB2312" w:hAnsi="楷体_GB2312" w:eastAsia="楷体_GB2312" w:cs="楷体_GB2312"/>
          <w:sz w:val="24"/>
          <w:szCs w:val="21"/>
        </w:rPr>
        <w:t xml:space="preserve"> 预案实施</w:t>
      </w:r>
      <w:r>
        <w:rPr>
          <w:sz w:val="24"/>
          <w:szCs w:val="21"/>
        </w:rPr>
        <w:tab/>
      </w:r>
      <w:r>
        <w:rPr>
          <w:sz w:val="24"/>
          <w:szCs w:val="21"/>
        </w:rPr>
        <w:fldChar w:fldCharType="begin"/>
      </w:r>
      <w:r>
        <w:rPr>
          <w:sz w:val="24"/>
          <w:szCs w:val="21"/>
        </w:rPr>
        <w:instrText xml:space="preserve"> PAGEREF _Toc16550 \h </w:instrText>
      </w:r>
      <w:r>
        <w:rPr>
          <w:sz w:val="24"/>
          <w:szCs w:val="21"/>
        </w:rPr>
        <w:fldChar w:fldCharType="separate"/>
      </w:r>
      <w:r>
        <w:rPr>
          <w:sz w:val="24"/>
          <w:szCs w:val="21"/>
        </w:rPr>
        <w:t>29</w:t>
      </w:r>
      <w:r>
        <w:rPr>
          <w:sz w:val="24"/>
          <w:szCs w:val="21"/>
        </w:rPr>
        <w:fldChar w:fldCharType="end"/>
      </w:r>
      <w:r>
        <w:rPr>
          <w:rFonts w:hint="eastAsia" w:ascii="仿宋_GB2312" w:hAnsi="仿宋_GB2312" w:eastAsia="仿宋_GB2312" w:cs="仿宋_GB2312"/>
          <w:sz w:val="24"/>
          <w:szCs w:val="21"/>
        </w:rPr>
        <w:fldChar w:fldCharType="end"/>
      </w:r>
    </w:p>
    <w:p>
      <w:pPr>
        <w:pStyle w:val="5"/>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_Toc15618 </w:instrText>
      </w:r>
      <w:r>
        <w:rPr>
          <w:rFonts w:hint="eastAsia" w:ascii="仿宋_GB2312" w:hAnsi="仿宋_GB2312" w:eastAsia="仿宋_GB2312" w:cs="仿宋_GB2312"/>
          <w:sz w:val="24"/>
          <w:szCs w:val="21"/>
        </w:rPr>
        <w:fldChar w:fldCharType="separate"/>
      </w:r>
      <w:r>
        <w:rPr>
          <w:rFonts w:hint="eastAsia" w:ascii="方正黑体简体" w:hAnsi="方正黑体简体" w:eastAsia="方正黑体简体" w:cs="方正黑体简体"/>
          <w:sz w:val="24"/>
          <w:szCs w:val="21"/>
        </w:rPr>
        <w:t>9 附件</w:t>
      </w:r>
      <w:r>
        <w:rPr>
          <w:sz w:val="24"/>
          <w:szCs w:val="21"/>
        </w:rPr>
        <w:tab/>
      </w:r>
      <w:r>
        <w:rPr>
          <w:sz w:val="24"/>
          <w:szCs w:val="21"/>
        </w:rPr>
        <w:fldChar w:fldCharType="begin"/>
      </w:r>
      <w:r>
        <w:rPr>
          <w:sz w:val="24"/>
          <w:szCs w:val="21"/>
        </w:rPr>
        <w:instrText xml:space="preserve"> PAGEREF _Toc15618 \h </w:instrText>
      </w:r>
      <w:r>
        <w:rPr>
          <w:sz w:val="24"/>
          <w:szCs w:val="21"/>
        </w:rPr>
        <w:fldChar w:fldCharType="separate"/>
      </w:r>
      <w:r>
        <w:rPr>
          <w:sz w:val="24"/>
          <w:szCs w:val="21"/>
        </w:rPr>
        <w:t>30</w:t>
      </w:r>
      <w:r>
        <w:rPr>
          <w:sz w:val="24"/>
          <w:szCs w:val="21"/>
        </w:rPr>
        <w:fldChar w:fldCharType="end"/>
      </w:r>
      <w:r>
        <w:rPr>
          <w:rFonts w:hint="eastAsia" w:ascii="仿宋_GB2312" w:hAnsi="仿宋_GB2312" w:eastAsia="仿宋_GB2312" w:cs="仿宋_GB2312"/>
          <w:sz w:val="24"/>
          <w:szCs w:val="21"/>
        </w:rPr>
        <w:fldChar w:fldCharType="end"/>
      </w:r>
    </w:p>
    <w:p>
      <w:pPr>
        <w:pStyle w:val="11"/>
        <w:tabs>
          <w:tab w:val="right" w:leader="dot" w:pos="8306"/>
        </w:tabs>
        <w:rPr>
          <w:rFonts w:hint="eastAsia" w:ascii="仿宋_GB2312" w:hAnsi="仿宋_GB2312" w:eastAsia="仿宋_GB2312" w:cs="仿宋_GB2312"/>
          <w:sz w:val="18"/>
          <w:szCs w:val="18"/>
        </w:rPr>
      </w:pPr>
      <w:r>
        <w:rPr>
          <w:rFonts w:hint="eastAsia" w:ascii="仿宋_GB2312" w:hAnsi="仿宋_GB2312" w:eastAsia="仿宋_GB2312" w:cs="仿宋_GB2312"/>
          <w:sz w:val="16"/>
          <w:szCs w:val="21"/>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rPr>
      </w:pPr>
    </w:p>
    <w:p>
      <w:pPr>
        <w:pStyle w:val="3"/>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rPr>
      </w:pPr>
    </w:p>
    <w:p>
      <w:pPr>
        <w:pStyle w:val="3"/>
        <w:rPr>
          <w:rFonts w:hint="eastAsia" w:ascii="仿宋_GB2312" w:hAnsi="仿宋_GB2312" w:eastAsia="仿宋_GB2312" w:cs="仿宋_GB2312"/>
        </w:rPr>
      </w:pPr>
    </w:p>
    <w:p>
      <w:pPr>
        <w:pStyle w:val="3"/>
        <w:rPr>
          <w:rFonts w:hint="eastAsia" w:ascii="方正黑体简体" w:hAnsi="方正黑体简体" w:eastAsia="方正黑体简体" w:cs="方正黑体简体"/>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方正黑体简体" w:hAnsi="方正黑体简体" w:eastAsia="方正黑体简体" w:cs="方正黑体简体"/>
          <w:sz w:val="32"/>
          <w:szCs w:val="32"/>
        </w:rPr>
      </w:pPr>
      <w:bookmarkStart w:id="12" w:name="_Toc15844"/>
      <w:r>
        <w:rPr>
          <w:rFonts w:hint="eastAsia" w:ascii="方正黑体简体" w:hAnsi="方正黑体简体" w:eastAsia="方正黑体简体" w:cs="方正黑体简体"/>
          <w:sz w:val="32"/>
          <w:szCs w:val="32"/>
        </w:rPr>
        <w:t>1 总则</w:t>
      </w:r>
      <w:bookmarkEnd w:id="1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13" w:name="_Toc912"/>
      <w:r>
        <w:rPr>
          <w:rFonts w:hint="eastAsia" w:ascii="楷体_GB2312" w:hAnsi="楷体_GB2312" w:eastAsia="楷体_GB2312" w:cs="楷体_GB2312"/>
          <w:sz w:val="32"/>
          <w:szCs w:val="32"/>
        </w:rPr>
        <w:t>1.1 编制目的</w:t>
      </w:r>
      <w:bookmarkEnd w:id="1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建立健全危险化学品生产安全事故应急救援体系和运行机制，提升事故应急处置能力，高效开展事故抢险救援，最大程度地减少事故造成的人员伤亡和财产损失，维护社会稳定。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bookmarkStart w:id="14" w:name="_Toc32215"/>
      <w:r>
        <w:rPr>
          <w:rFonts w:hint="eastAsia" w:ascii="楷体_GB2312" w:hAnsi="楷体_GB2312" w:eastAsia="楷体_GB2312" w:cs="楷体_GB2312"/>
          <w:sz w:val="32"/>
          <w:szCs w:val="32"/>
        </w:rPr>
        <w:t>1.2 编制依据</w:t>
      </w:r>
      <w:bookmarkEnd w:id="14"/>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（1）《中华人民共和国突发事件应对法》（2007年8月30日第十届全国人民代表大会常务委员会第二十九次会议通过）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6"/>
          <w:sz w:val="32"/>
          <w:szCs w:val="32"/>
          <w:lang w:val="en-US" w:eastAsia="zh-CN"/>
        </w:rPr>
        <w:t>（</w:t>
      </w:r>
      <w:r>
        <w:rPr>
          <w:rFonts w:hint="eastAsia" w:cs="仿宋_GB2312"/>
          <w:color w:val="auto"/>
          <w:spacing w:val="-6"/>
          <w:sz w:val="32"/>
          <w:szCs w:val="32"/>
          <w:lang w:val="en-US" w:eastAsia="zh-CN"/>
        </w:rPr>
        <w:t>2</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sz w:val="32"/>
          <w:szCs w:val="32"/>
        </w:rPr>
        <w:t>《中华人民共和国安全生产法》</w:t>
      </w:r>
      <w:r>
        <w:rPr>
          <w:rFonts w:hint="eastAsia" w:ascii="仿宋_GB2312" w:hAnsi="仿宋_GB2312" w:eastAsia="仿宋_GB2312" w:cs="仿宋_GB2312"/>
          <w:color w:val="auto"/>
          <w:spacing w:val="-6"/>
          <w:sz w:val="32"/>
          <w:szCs w:val="32"/>
          <w:lang w:val="en-US" w:eastAsia="zh-CN"/>
        </w:rPr>
        <w:t>（2021年6月10日第十三届全国人民代表大会常务委员会第二十九次会议于通过）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pacing w:val="-6"/>
          <w:sz w:val="32"/>
          <w:szCs w:val="32"/>
          <w:lang w:val="en-US" w:eastAsia="zh-CN"/>
        </w:rPr>
        <w:t>（</w:t>
      </w:r>
      <w:r>
        <w:rPr>
          <w:rFonts w:hint="eastAsia" w:cs="仿宋_GB2312"/>
          <w:color w:val="auto"/>
          <w:spacing w:val="-6"/>
          <w:sz w:val="32"/>
          <w:szCs w:val="32"/>
          <w:lang w:val="en-US" w:eastAsia="zh-CN"/>
        </w:rPr>
        <w:t>3</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sz w:val="32"/>
          <w:szCs w:val="32"/>
        </w:rPr>
        <w:t>《中华人</w:t>
      </w:r>
      <w:r>
        <w:rPr>
          <w:rFonts w:hint="eastAsia" w:ascii="仿宋_GB2312" w:hAnsi="仿宋_GB2312" w:eastAsia="仿宋_GB2312" w:cs="仿宋_GB2312"/>
          <w:color w:val="auto"/>
          <w:spacing w:val="-6"/>
          <w:sz w:val="32"/>
          <w:szCs w:val="32"/>
          <w:lang w:val="en-US" w:eastAsia="zh-CN"/>
        </w:rPr>
        <w:t>民共和国消防法》（2021年4月29日第十三届全国人民代表大会常务委员会第二十八次会议</w:t>
      </w:r>
      <w:r>
        <w:rPr>
          <w:rFonts w:hint="eastAsia" w:cs="仿宋_GB2312"/>
          <w:color w:val="auto"/>
          <w:spacing w:val="-6"/>
          <w:sz w:val="32"/>
          <w:szCs w:val="32"/>
          <w:lang w:val="en-US" w:eastAsia="zh-CN"/>
        </w:rPr>
        <w:t>第二次修正</w:t>
      </w:r>
      <w:r>
        <w:rPr>
          <w:rFonts w:hint="eastAsia" w:ascii="仿宋_GB2312" w:hAnsi="仿宋_GB2312" w:eastAsia="仿宋_GB2312" w:cs="仿宋_GB2312"/>
          <w:color w:val="auto"/>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6"/>
          <w:sz w:val="32"/>
          <w:szCs w:val="32"/>
          <w:lang w:val="en-US" w:eastAsia="zh-CN"/>
        </w:rPr>
        <w:t>（</w:t>
      </w:r>
      <w:r>
        <w:rPr>
          <w:rFonts w:hint="eastAsia" w:cs="仿宋_GB2312"/>
          <w:color w:val="auto"/>
          <w:spacing w:val="-6"/>
          <w:sz w:val="32"/>
          <w:szCs w:val="32"/>
          <w:lang w:val="en-US" w:eastAsia="zh-CN"/>
        </w:rPr>
        <w:t>4</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sz w:val="32"/>
          <w:szCs w:val="32"/>
        </w:rPr>
        <w:t>《生产安全事故应急条例》</w:t>
      </w:r>
      <w:r>
        <w:rPr>
          <w:rFonts w:hint="eastAsia" w:ascii="仿宋_GB2312" w:hAnsi="仿宋_GB2312" w:eastAsia="仿宋_GB2312" w:cs="仿宋_GB2312"/>
          <w:color w:val="auto"/>
          <w:spacing w:val="-6"/>
          <w:sz w:val="32"/>
          <w:szCs w:val="32"/>
          <w:lang w:val="zh-CN" w:eastAsia="zh-CN"/>
        </w:rPr>
        <w:t>（中华人民共和国国务院令第708号）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pacing w:val="-6"/>
          <w:sz w:val="32"/>
          <w:szCs w:val="32"/>
          <w:lang w:val="en-US" w:eastAsia="zh-CN"/>
        </w:rPr>
        <w:t>（</w:t>
      </w:r>
      <w:r>
        <w:rPr>
          <w:rFonts w:hint="eastAsia" w:cs="仿宋_GB2312"/>
          <w:color w:val="auto"/>
          <w:spacing w:val="-6"/>
          <w:sz w:val="32"/>
          <w:szCs w:val="32"/>
          <w:lang w:val="en-US" w:eastAsia="zh-CN"/>
        </w:rPr>
        <w:t>5</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sz w:val="32"/>
          <w:szCs w:val="32"/>
        </w:rPr>
        <w:t>《危险化学品安</w:t>
      </w:r>
      <w:r>
        <w:rPr>
          <w:rFonts w:hint="eastAsia" w:ascii="仿宋_GB2312" w:hAnsi="仿宋_GB2312" w:eastAsia="仿宋_GB2312" w:cs="仿宋_GB2312"/>
          <w:color w:val="auto"/>
          <w:spacing w:val="-6"/>
          <w:sz w:val="32"/>
          <w:szCs w:val="32"/>
          <w:lang w:val="zh-CN" w:eastAsia="zh-CN"/>
        </w:rPr>
        <w:t>全管理条例》（国务院令第 591 号公布，第 645号修订）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6"/>
          <w:sz w:val="32"/>
          <w:szCs w:val="32"/>
          <w:lang w:val="en-US" w:eastAsia="zh-CN"/>
        </w:rPr>
        <w:t>（</w:t>
      </w:r>
      <w:r>
        <w:rPr>
          <w:rFonts w:hint="eastAsia" w:cs="仿宋_GB2312"/>
          <w:color w:val="auto"/>
          <w:spacing w:val="-6"/>
          <w:sz w:val="32"/>
          <w:szCs w:val="32"/>
          <w:lang w:val="en-US" w:eastAsia="zh-CN"/>
        </w:rPr>
        <w:t>6</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sz w:val="32"/>
          <w:szCs w:val="32"/>
        </w:rPr>
        <w:t>《生产安全事故报告和调查处理条例》</w:t>
      </w:r>
      <w:r>
        <w:rPr>
          <w:rFonts w:hint="eastAsia" w:ascii="仿宋_GB2312" w:hAnsi="仿宋_GB2312" w:eastAsia="仿宋_GB2312" w:cs="仿宋_GB2312"/>
          <w:color w:val="auto"/>
          <w:spacing w:val="-6"/>
          <w:sz w:val="32"/>
          <w:szCs w:val="32"/>
          <w:lang w:val="en-US" w:eastAsia="zh-CN"/>
        </w:rPr>
        <w:t>（国务院令第493号予以公布，自2007年6月1日起施行</w:t>
      </w:r>
      <w:r>
        <w:rPr>
          <w:rFonts w:hint="eastAsia" w:cs="仿宋_GB2312"/>
          <w:color w:val="auto"/>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pacing w:val="-6"/>
          <w:sz w:val="32"/>
          <w:szCs w:val="32"/>
          <w:lang w:val="en-US" w:eastAsia="zh-CN"/>
        </w:rPr>
        <w:t>（</w:t>
      </w:r>
      <w:r>
        <w:rPr>
          <w:rFonts w:hint="eastAsia" w:cs="仿宋_GB2312"/>
          <w:color w:val="auto"/>
          <w:spacing w:val="-6"/>
          <w:sz w:val="32"/>
          <w:szCs w:val="32"/>
          <w:lang w:val="en-US" w:eastAsia="zh-CN"/>
        </w:rPr>
        <w:t>7</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sz w:val="32"/>
          <w:szCs w:val="32"/>
        </w:rPr>
        <w:t>《生产安全事故应急预案管理办法》</w:t>
      </w:r>
      <w:r>
        <w:rPr>
          <w:rFonts w:hint="eastAsia" w:cs="仿宋_GB2312"/>
          <w:sz w:val="32"/>
          <w:szCs w:val="32"/>
          <w:lang w:eastAsia="zh-CN"/>
        </w:rPr>
        <w:t>（</w:t>
      </w:r>
      <w:r>
        <w:rPr>
          <w:rFonts w:hint="eastAsia" w:cs="仿宋_GB2312"/>
          <w:sz w:val="32"/>
          <w:szCs w:val="32"/>
          <w:lang w:val="en-US" w:eastAsia="zh-CN"/>
        </w:rPr>
        <w:t>原</w:t>
      </w:r>
      <w:r>
        <w:rPr>
          <w:rFonts w:hint="eastAsia" w:cs="仿宋_GB2312"/>
          <w:sz w:val="32"/>
          <w:szCs w:val="32"/>
          <w:lang w:eastAsia="zh-CN"/>
        </w:rPr>
        <w:t>国家安全生产监督管理总局令第17号）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pacing w:val="-6"/>
          <w:sz w:val="32"/>
          <w:szCs w:val="32"/>
          <w:lang w:val="en-US" w:eastAsia="zh-CN"/>
        </w:rPr>
        <w:t>（</w:t>
      </w:r>
      <w:r>
        <w:rPr>
          <w:rFonts w:hint="eastAsia" w:cs="仿宋_GB2312"/>
          <w:color w:val="auto"/>
          <w:spacing w:val="-6"/>
          <w:sz w:val="32"/>
          <w:szCs w:val="32"/>
          <w:lang w:val="en-US" w:eastAsia="zh-CN"/>
        </w:rPr>
        <w:t>8</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sz w:val="32"/>
          <w:szCs w:val="32"/>
        </w:rPr>
        <w:t>《生产安全事故信息报告和处置办法》</w:t>
      </w:r>
      <w:r>
        <w:rPr>
          <w:rFonts w:hint="eastAsia" w:cs="仿宋_GB2312"/>
          <w:sz w:val="32"/>
          <w:szCs w:val="32"/>
          <w:lang w:eastAsia="zh-CN"/>
        </w:rPr>
        <w:t>（</w:t>
      </w:r>
      <w:r>
        <w:rPr>
          <w:rFonts w:hint="eastAsia" w:cs="仿宋_GB2312"/>
          <w:sz w:val="32"/>
          <w:szCs w:val="32"/>
          <w:lang w:val="en-US" w:eastAsia="zh-CN"/>
        </w:rPr>
        <w:t>原</w:t>
      </w:r>
      <w:r>
        <w:rPr>
          <w:rFonts w:hint="eastAsia" w:cs="仿宋_GB2312"/>
          <w:sz w:val="32"/>
          <w:szCs w:val="32"/>
          <w:lang w:eastAsia="zh-CN"/>
        </w:rPr>
        <w:t>国家安全生产监督管理总局令第 21 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pacing w:val="-6"/>
          <w:sz w:val="32"/>
          <w:szCs w:val="32"/>
          <w:lang w:val="en-US" w:eastAsia="zh-CN"/>
        </w:rPr>
        <w:t>（</w:t>
      </w:r>
      <w:r>
        <w:rPr>
          <w:rFonts w:hint="eastAsia" w:cs="仿宋_GB2312"/>
          <w:color w:val="auto"/>
          <w:spacing w:val="-6"/>
          <w:sz w:val="32"/>
          <w:szCs w:val="32"/>
          <w:lang w:val="en-US" w:eastAsia="zh-CN"/>
        </w:rPr>
        <w:t>9</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sz w:val="32"/>
          <w:szCs w:val="32"/>
        </w:rPr>
        <w:t>《安全监管部门应急预</w:t>
      </w:r>
      <w:r>
        <w:rPr>
          <w:rFonts w:hint="eastAsia" w:cs="仿宋_GB2312"/>
          <w:sz w:val="32"/>
          <w:szCs w:val="32"/>
          <w:lang w:eastAsia="zh-CN"/>
        </w:rPr>
        <w:t>案框架指南》（</w:t>
      </w:r>
      <w:r>
        <w:rPr>
          <w:rFonts w:hint="eastAsia" w:cs="仿宋_GB2312"/>
          <w:sz w:val="32"/>
          <w:szCs w:val="32"/>
          <w:lang w:val="en-US" w:eastAsia="zh-CN"/>
        </w:rPr>
        <w:t>原</w:t>
      </w:r>
      <w:r>
        <w:rPr>
          <w:rFonts w:hint="eastAsia" w:cs="仿宋_GB2312"/>
          <w:sz w:val="32"/>
          <w:szCs w:val="32"/>
          <w:lang w:eastAsia="zh-CN"/>
        </w:rPr>
        <w:t>安监厅应急〔2011〕222号）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cs="仿宋_GB2312"/>
          <w:sz w:val="32"/>
          <w:szCs w:val="32"/>
          <w:lang w:eastAsia="zh-CN"/>
        </w:rPr>
      </w:pPr>
      <w:r>
        <w:rPr>
          <w:rFonts w:hint="eastAsia" w:ascii="仿宋_GB2312" w:hAnsi="仿宋_GB2312" w:eastAsia="仿宋_GB2312" w:cs="仿宋_GB2312"/>
          <w:color w:val="auto"/>
          <w:spacing w:val="-6"/>
          <w:sz w:val="32"/>
          <w:szCs w:val="32"/>
          <w:lang w:val="en-US" w:eastAsia="zh-CN"/>
        </w:rPr>
        <w:t>（</w:t>
      </w:r>
      <w:r>
        <w:rPr>
          <w:rFonts w:hint="eastAsia" w:cs="仿宋_GB2312"/>
          <w:color w:val="auto"/>
          <w:spacing w:val="-6"/>
          <w:sz w:val="32"/>
          <w:szCs w:val="32"/>
          <w:lang w:val="en-US" w:eastAsia="zh-CN"/>
        </w:rPr>
        <w:t>10</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sz w:val="32"/>
          <w:szCs w:val="32"/>
        </w:rPr>
        <w:t>《福建省安全生产条例》</w:t>
      </w:r>
      <w:r>
        <w:rPr>
          <w:rFonts w:hint="eastAsia" w:cs="仿宋_GB2312"/>
          <w:sz w:val="32"/>
          <w:szCs w:val="32"/>
          <w:lang w:eastAsia="zh-CN"/>
        </w:rPr>
        <w:t>（2016年12月2日福建省第十二届人民代表大会常务委员会第二十六次会议通过）</w:t>
      </w:r>
    </w:p>
    <w:p>
      <w:pPr>
        <w:pStyle w:val="3"/>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（11）《福建省生产安全事故灾难应急预案》</w:t>
      </w:r>
      <w:r>
        <w:rPr>
          <w:rFonts w:hint="eastAsia"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闽政办〔2015〕132号</w:t>
      </w:r>
      <w:r>
        <w:rPr>
          <w:rFonts w:hint="eastAsia" w:cs="仿宋_GB2312"/>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（12）《福州市危险化学品生产安全事故应急预案》（榕安委〔2022〕16号）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6"/>
          <w:sz w:val="32"/>
          <w:szCs w:val="32"/>
          <w:lang w:val="en-US" w:eastAsia="zh-CN"/>
        </w:rPr>
        <w:t>（</w:t>
      </w:r>
      <w:r>
        <w:rPr>
          <w:rFonts w:hint="eastAsia" w:cs="仿宋_GB2312"/>
          <w:color w:val="auto"/>
          <w:spacing w:val="-6"/>
          <w:sz w:val="32"/>
          <w:szCs w:val="32"/>
          <w:lang w:val="en-US" w:eastAsia="zh-CN"/>
        </w:rPr>
        <w:t>13</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sz w:val="32"/>
          <w:szCs w:val="32"/>
        </w:rPr>
        <w:t>《</w:t>
      </w:r>
      <w:r>
        <w:rPr>
          <w:rFonts w:hint="eastAsia" w:cs="仿宋_GB2312"/>
          <w:sz w:val="32"/>
          <w:szCs w:val="32"/>
          <w:lang w:val="en-US" w:eastAsia="zh-CN"/>
        </w:rPr>
        <w:t>永泰县突发事件总体</w:t>
      </w:r>
      <w:r>
        <w:rPr>
          <w:rFonts w:hint="eastAsia" w:ascii="仿宋_GB2312" w:hAnsi="仿宋_GB2312" w:eastAsia="仿宋_GB2312" w:cs="仿宋_GB2312"/>
          <w:sz w:val="32"/>
          <w:szCs w:val="32"/>
        </w:rPr>
        <w:t>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6"/>
          <w:sz w:val="32"/>
          <w:szCs w:val="32"/>
          <w:lang w:val="en-US" w:eastAsia="zh-CN"/>
        </w:rPr>
        <w:t>（</w:t>
      </w:r>
      <w:r>
        <w:rPr>
          <w:rFonts w:hint="eastAsia" w:cs="仿宋_GB2312"/>
          <w:color w:val="auto"/>
          <w:spacing w:val="-6"/>
          <w:sz w:val="32"/>
          <w:szCs w:val="32"/>
          <w:lang w:val="en-US" w:eastAsia="zh-CN"/>
        </w:rPr>
        <w:t>14）</w:t>
      </w:r>
      <w:r>
        <w:rPr>
          <w:rFonts w:hint="eastAsia" w:ascii="仿宋_GB2312" w:hAnsi="仿宋_GB2312" w:eastAsia="仿宋_GB2312" w:cs="仿宋_GB2312"/>
          <w:sz w:val="32"/>
          <w:szCs w:val="32"/>
        </w:rPr>
        <w:t>《</w:t>
      </w:r>
      <w:r>
        <w:rPr>
          <w:rFonts w:hint="eastAsia" w:cs="仿宋_GB2312"/>
          <w:sz w:val="32"/>
          <w:szCs w:val="32"/>
          <w:lang w:val="en-US" w:eastAsia="zh-CN"/>
        </w:rPr>
        <w:t>永泰县</w:t>
      </w:r>
      <w:r>
        <w:rPr>
          <w:rFonts w:hint="eastAsia" w:ascii="仿宋_GB2312" w:hAnsi="仿宋_GB2312" w:eastAsia="仿宋_GB2312" w:cs="仿宋_GB2312"/>
          <w:sz w:val="32"/>
          <w:szCs w:val="32"/>
        </w:rPr>
        <w:t>安全生产事故灾难应急预案》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pacing w:val="-6"/>
          <w:sz w:val="32"/>
          <w:szCs w:val="32"/>
          <w:lang w:val="en-US" w:eastAsia="zh-CN"/>
        </w:rPr>
        <w:t>（</w:t>
      </w:r>
      <w:r>
        <w:rPr>
          <w:rFonts w:hint="eastAsia" w:cs="仿宋_GB2312"/>
          <w:color w:val="auto"/>
          <w:spacing w:val="-6"/>
          <w:sz w:val="32"/>
          <w:szCs w:val="32"/>
          <w:lang w:val="en-US" w:eastAsia="zh-CN"/>
        </w:rPr>
        <w:t>15）</w:t>
      </w:r>
      <w:r>
        <w:rPr>
          <w:rFonts w:hint="eastAsia" w:ascii="仿宋_GB2312" w:hAnsi="仿宋_GB2312" w:eastAsia="仿宋_GB2312" w:cs="仿宋_GB2312"/>
          <w:sz w:val="32"/>
          <w:szCs w:val="32"/>
        </w:rPr>
        <w:t>《危险化学品事故应急救援指挥导则》</w:t>
      </w:r>
      <w:r>
        <w:rPr>
          <w:rFonts w:hint="eastAsia" w:cs="仿宋_GB2312"/>
          <w:sz w:val="32"/>
          <w:szCs w:val="32"/>
          <w:lang w:val="en-US" w:eastAsia="zh-CN"/>
        </w:rPr>
        <w:t>(AQ/T 3052-2015)</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kern w:val="0"/>
          <w:sz w:val="32"/>
          <w:szCs w:val="32"/>
          <w:lang w:val="zh-CN" w:eastAsia="zh-CN" w:bidi="ar"/>
        </w:rPr>
      </w:pPr>
      <w:r>
        <w:rPr>
          <w:rFonts w:hint="eastAsia" w:ascii="仿宋_GB2312" w:hAnsi="仿宋_GB2312" w:eastAsia="仿宋_GB2312" w:cs="仿宋_GB2312"/>
          <w:color w:val="auto"/>
          <w:spacing w:val="-6"/>
          <w:kern w:val="0"/>
          <w:sz w:val="32"/>
          <w:szCs w:val="32"/>
          <w:lang w:val="zh-CN" w:eastAsia="zh-CN" w:bidi="ar"/>
        </w:rPr>
        <w:t>及其他有关安全生产的法律、法规、标准和应急预案管理文件等。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15" w:name="_Toc21137"/>
      <w:r>
        <w:rPr>
          <w:rFonts w:hint="eastAsia" w:ascii="楷体_GB2312" w:hAnsi="楷体_GB2312" w:eastAsia="楷体_GB2312" w:cs="楷体_GB2312"/>
          <w:sz w:val="32"/>
          <w:szCs w:val="32"/>
        </w:rPr>
        <w:t>1.3 适用范围</w:t>
      </w:r>
      <w:bookmarkEnd w:id="1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本预案适用于永泰县内以下危险化学品（不包括民用爆炸器材、烟花爆竹、城镇燃气和放射性物品）生产安全事故的应急救援工作：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（1）一般危险化学品事故的应急处置工作；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（2）较大、重大、特别重大危险化学品事故的先期处置工作；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（3）配合上级应急处置指挥机构对发生在本辖区内的较大及以上危险化学品事故的应急处置工作；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cs="仿宋_GB2312"/>
          <w:sz w:val="32"/>
          <w:szCs w:val="32"/>
          <w:lang w:val="en-US" w:eastAsia="zh-CN"/>
        </w:rPr>
      </w:pPr>
      <w:bookmarkStart w:id="16" w:name="_Toc22883"/>
      <w:r>
        <w:rPr>
          <w:rFonts w:hint="eastAsia" w:ascii="仿宋_GB2312" w:hAnsi="仿宋_GB2312" w:eastAsia="仿宋_GB2312" w:cs="仿宋_GB2312"/>
          <w:sz w:val="32"/>
          <w:szCs w:val="32"/>
        </w:rPr>
        <w:t>（4）县政府认为需要县级应急响应的危险化学品事故。</w:t>
      </w:r>
      <w:bookmarkEnd w:id="16"/>
      <w:r>
        <w:rPr>
          <w:rFonts w:hint="eastAsia"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楷体_GB2312" w:hAnsi="楷体_GB2312" w:eastAsia="楷体_GB2312" w:cs="楷体_GB2312"/>
          <w:sz w:val="32"/>
          <w:szCs w:val="32"/>
          <w:lang w:val="en-US" w:eastAsia="zh-CN"/>
        </w:rPr>
      </w:pPr>
      <w:bookmarkStart w:id="17" w:name="_Toc1759"/>
      <w:r>
        <w:rPr>
          <w:rFonts w:hint="eastAsia" w:ascii="楷体_GB2312" w:hAnsi="楷体_GB2312" w:eastAsia="楷体_GB2312" w:cs="楷体_GB2312"/>
          <w:sz w:val="32"/>
          <w:szCs w:val="32"/>
        </w:rPr>
        <w:t>1.</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工作原则</w:t>
      </w:r>
      <w:bookmarkEnd w:id="1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（1）以人为本。牢固树立生命至上、安全第一、预防为主、迅速救援的理念，最大程度地减少事故造成的人员伤亡、财产损失和社会影响。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（2）分级负责。贯彻分类管理、分级负责、属地为主、事发单位是事故应急处置第一响应者的要求，各级政府、有关部门和单位按照各自职责和权限，认真落实应急管理和事故应急处置工作责任。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（3）协调配合。建立健全联防联动工作机制，协调有序、资源共享、紧密配合，充分调动和发挥各级各部门各企业以及社会各方面力量共同参与事故救援。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sz w:val="32"/>
          <w:szCs w:val="32"/>
        </w:rPr>
      </w:pPr>
      <w:r>
        <w:rPr>
          <w:rFonts w:hint="eastAsia" w:ascii="仿宋_GB2312" w:hAnsi="仿宋_GB2312" w:eastAsia="仿宋_GB2312" w:cs="仿宋_GB2312"/>
          <w:sz w:val="32"/>
          <w:szCs w:val="32"/>
        </w:rPr>
        <w:t>（4）预防为主，专兼结合</w:t>
      </w:r>
      <w:r>
        <w:rPr>
          <w:rFonts w:hint="eastAsia" w:cs="仿宋_GB2312"/>
          <w:sz w:val="32"/>
          <w:szCs w:val="32"/>
          <w:lang w:eastAsia="zh-CN"/>
        </w:rPr>
        <w:t>。</w:t>
      </w:r>
      <w:r>
        <w:rPr>
          <w:rFonts w:hint="eastAsia" w:ascii="仿宋_GB2312" w:hAnsi="仿宋_GB2312" w:eastAsia="仿宋_GB2312" w:cs="仿宋_GB2312"/>
          <w:sz w:val="32"/>
          <w:szCs w:val="32"/>
        </w:rPr>
        <w:t>坚持“安全第一，预防为主，综合治理”的方针，全面规划、整合资源，将平时管理与应急处置有机结合起来；加强培训演练，日常工作和应急工作相结合，充分发挥生产经营单位的专兼职应急队伍第一时间开展先期处置，发挥应急第一响应者的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cs="仿宋_GB2312"/>
          <w:sz w:val="32"/>
          <w:szCs w:val="32"/>
          <w:lang w:val="en-US" w:eastAsia="zh-CN"/>
        </w:rPr>
        <w:t>5</w:t>
      </w:r>
      <w:r>
        <w:rPr>
          <w:rFonts w:hint="eastAsia" w:ascii="仿宋_GB2312" w:hAnsi="仿宋_GB2312" w:eastAsia="仿宋_GB2312" w:cs="仿宋_GB2312"/>
          <w:sz w:val="32"/>
          <w:szCs w:val="32"/>
        </w:rPr>
        <w:t>）讲求科学。以发挥专业应急救援队伍和专家作用为主，采用先进技术和依托先进装备，加强科学有效施救、依法依规施救。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sz w:val="32"/>
          <w:szCs w:val="32"/>
        </w:rPr>
      </w:pPr>
      <w:r>
        <w:rPr>
          <w:rFonts w:hint="eastAsia" w:ascii="仿宋_GB2312" w:hAnsi="仿宋_GB2312" w:eastAsia="仿宋_GB2312" w:cs="仿宋_GB2312"/>
          <w:sz w:val="32"/>
          <w:szCs w:val="32"/>
        </w:rPr>
        <w:t>（</w:t>
      </w:r>
      <w:r>
        <w:rPr>
          <w:rFonts w:hint="eastAsia" w:cs="仿宋_GB2312"/>
          <w:sz w:val="32"/>
          <w:szCs w:val="32"/>
          <w:lang w:val="en-US" w:eastAsia="zh-CN"/>
        </w:rPr>
        <w:t>6</w:t>
      </w:r>
      <w:r>
        <w:rPr>
          <w:rFonts w:hint="eastAsia" w:ascii="仿宋_GB2312" w:hAnsi="仿宋_GB2312" w:eastAsia="仿宋_GB2312" w:cs="仿宋_GB2312"/>
          <w:sz w:val="32"/>
          <w:szCs w:val="32"/>
        </w:rPr>
        <w:t>）舆论引导。正确引导社会舆论，及时、准确、客观发布事故信息，有序组织新闻媒体采访、报道事故进展及处置工作情况。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18" w:name="_Toc1478"/>
      <w:r>
        <w:rPr>
          <w:rFonts w:hint="eastAsia" w:ascii="楷体_GB2312" w:hAnsi="楷体_GB2312" w:eastAsia="楷体_GB2312" w:cs="楷体_GB2312"/>
          <w:sz w:val="32"/>
          <w:szCs w:val="32"/>
        </w:rPr>
        <w:t>1.5 事故、预警和响应分级</w:t>
      </w:r>
      <w:bookmarkEnd w:id="1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根据危险化学品生产安全事故的可控性、严重程度和影响范围，将其划分为特别重大事故、重大事故、较大事故和一般事故四级。对应上述事故等级，预警和应急响应等级划分为：Ⅰ</w:t>
      </w:r>
      <w:r>
        <w:rPr>
          <w:rFonts w:hint="eastAsia" w:cs="仿宋_GB2312"/>
          <w:sz w:val="32"/>
          <w:szCs w:val="32"/>
          <w:lang w:val="en-US" w:eastAsia="zh-CN"/>
        </w:rPr>
        <w:t>级</w:t>
      </w:r>
      <w:r>
        <w:rPr>
          <w:rFonts w:hint="eastAsia" w:ascii="仿宋_GB2312" w:hAnsi="仿宋_GB2312" w:eastAsia="仿宋_GB2312" w:cs="仿宋_GB2312"/>
          <w:sz w:val="32"/>
          <w:szCs w:val="32"/>
        </w:rPr>
        <w:t>、Ⅱ级、Ⅲ级和Ⅳ级（划分情况见附件1）。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方正黑体简体" w:hAnsi="方正黑体简体" w:eastAsia="方正黑体简体" w:cs="方正黑体简体"/>
          <w:sz w:val="32"/>
          <w:szCs w:val="32"/>
        </w:rPr>
      </w:pPr>
      <w:bookmarkStart w:id="19" w:name="_Toc19310"/>
      <w:r>
        <w:rPr>
          <w:rFonts w:hint="eastAsia" w:ascii="方正黑体简体" w:hAnsi="方正黑体简体" w:eastAsia="方正黑体简体" w:cs="方正黑体简体"/>
          <w:sz w:val="32"/>
          <w:szCs w:val="32"/>
        </w:rPr>
        <w:t>2 组织体系与职责</w:t>
      </w:r>
      <w:bookmarkEnd w:id="1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cs="仿宋_GB2312"/>
          <w:sz w:val="32"/>
          <w:szCs w:val="32"/>
          <w:lang w:val="en-US" w:eastAsia="zh-CN"/>
        </w:rPr>
        <w:t>永泰县</w:t>
      </w:r>
      <w:r>
        <w:rPr>
          <w:rFonts w:hint="eastAsia" w:ascii="仿宋_GB2312" w:hAnsi="仿宋_GB2312" w:eastAsia="仿宋_GB2312" w:cs="仿宋_GB2312"/>
          <w:sz w:val="32"/>
          <w:szCs w:val="32"/>
        </w:rPr>
        <w:t>危险化学品生产安全事故应急救援组织体系包括：</w:t>
      </w:r>
      <w:r>
        <w:rPr>
          <w:rFonts w:hint="eastAsia" w:cs="仿宋_GB2312"/>
          <w:sz w:val="32"/>
          <w:szCs w:val="32"/>
          <w:lang w:val="en-US" w:eastAsia="zh-CN"/>
        </w:rPr>
        <w:t>永泰县</w:t>
      </w:r>
      <w:r>
        <w:rPr>
          <w:rFonts w:hint="eastAsia" w:ascii="仿宋_GB2312" w:hAnsi="仿宋_GB2312" w:eastAsia="仿宋_GB2312" w:cs="仿宋_GB2312"/>
          <w:sz w:val="32"/>
          <w:szCs w:val="32"/>
        </w:rPr>
        <w:t>危险化学品事故应急</w:t>
      </w:r>
      <w:r>
        <w:rPr>
          <w:rFonts w:hint="eastAsia" w:cs="仿宋_GB2312"/>
          <w:sz w:val="32"/>
          <w:szCs w:val="32"/>
          <w:lang w:val="en-US" w:eastAsia="zh-CN"/>
        </w:rPr>
        <w:t>指挥部</w:t>
      </w:r>
      <w:r>
        <w:rPr>
          <w:rFonts w:hint="eastAsia" w:ascii="仿宋_GB2312" w:hAnsi="仿宋_GB2312" w:eastAsia="仿宋_GB2312" w:cs="仿宋_GB2312"/>
          <w:sz w:val="32"/>
          <w:szCs w:val="32"/>
        </w:rPr>
        <w:t>、</w:t>
      </w:r>
      <w:r>
        <w:rPr>
          <w:rFonts w:hint="eastAsia" w:cs="仿宋_GB2312"/>
          <w:sz w:val="32"/>
          <w:szCs w:val="32"/>
          <w:lang w:val="en-US" w:eastAsia="zh-CN"/>
        </w:rPr>
        <w:t>永泰县</w:t>
      </w:r>
      <w:r>
        <w:rPr>
          <w:rFonts w:hint="eastAsia" w:ascii="仿宋_GB2312" w:hAnsi="仿宋_GB2312" w:eastAsia="仿宋_GB2312" w:cs="仿宋_GB2312"/>
          <w:sz w:val="32"/>
          <w:szCs w:val="32"/>
        </w:rPr>
        <w:t>危险化学品事故应急</w:t>
      </w:r>
      <w:r>
        <w:rPr>
          <w:rFonts w:hint="eastAsia" w:cs="仿宋_GB2312"/>
          <w:sz w:val="32"/>
          <w:szCs w:val="32"/>
          <w:lang w:val="en-US" w:eastAsia="zh-CN"/>
        </w:rPr>
        <w:t>指挥部</w:t>
      </w:r>
      <w:r>
        <w:rPr>
          <w:rFonts w:hint="eastAsia" w:ascii="仿宋_GB2312" w:hAnsi="仿宋_GB2312" w:eastAsia="仿宋_GB2312" w:cs="仿宋_GB2312"/>
          <w:sz w:val="32"/>
          <w:szCs w:val="32"/>
        </w:rPr>
        <w:t>办公室（以下简称“</w:t>
      </w:r>
      <w:r>
        <w:rPr>
          <w:rFonts w:hint="eastAsia" w:cs="仿宋_GB2312"/>
          <w:sz w:val="32"/>
          <w:szCs w:val="32"/>
          <w:lang w:val="en-US" w:eastAsia="zh-CN"/>
        </w:rPr>
        <w:t>指挥部</w:t>
      </w:r>
      <w:r>
        <w:rPr>
          <w:rFonts w:hint="eastAsia" w:ascii="仿宋_GB2312" w:hAnsi="仿宋_GB2312" w:eastAsia="仿宋_GB2312" w:cs="仿宋_GB2312"/>
          <w:sz w:val="32"/>
          <w:szCs w:val="32"/>
        </w:rPr>
        <w:t>办公室”）、危险化学品事故应急处置</w:t>
      </w:r>
      <w:r>
        <w:rPr>
          <w:rFonts w:hint="eastAsia" w:cs="仿宋_GB2312"/>
          <w:sz w:val="32"/>
          <w:szCs w:val="32"/>
          <w:lang w:eastAsia="zh-CN"/>
        </w:rPr>
        <w:t>现场应急指挥部</w:t>
      </w:r>
      <w:r>
        <w:rPr>
          <w:rFonts w:hint="eastAsia" w:ascii="仿宋_GB2312" w:hAnsi="仿宋_GB2312" w:eastAsia="仿宋_GB2312" w:cs="仿宋_GB2312"/>
          <w:sz w:val="32"/>
          <w:szCs w:val="32"/>
        </w:rPr>
        <w:t>（以下简称“</w:t>
      </w:r>
      <w:r>
        <w:rPr>
          <w:rFonts w:hint="eastAsia" w:cs="仿宋_GB2312"/>
          <w:sz w:val="32"/>
          <w:szCs w:val="32"/>
          <w:lang w:eastAsia="zh-CN"/>
        </w:rPr>
        <w:t>现场应急指挥部</w:t>
      </w:r>
      <w:r>
        <w:rPr>
          <w:rFonts w:hint="eastAsia" w:ascii="仿宋_GB2312" w:hAnsi="仿宋_GB2312" w:eastAsia="仿宋_GB2312" w:cs="仿宋_GB2312"/>
          <w:sz w:val="32"/>
          <w:szCs w:val="32"/>
        </w:rPr>
        <w:t>”）、</w:t>
      </w:r>
      <w:r>
        <w:rPr>
          <w:rFonts w:hint="eastAsia" w:cs="仿宋_GB2312"/>
          <w:sz w:val="32"/>
          <w:szCs w:val="32"/>
          <w:lang w:val="en-US" w:eastAsia="zh-CN"/>
        </w:rPr>
        <w:t>县</w:t>
      </w:r>
      <w:r>
        <w:rPr>
          <w:rFonts w:hint="eastAsia" w:ascii="仿宋_GB2312" w:hAnsi="仿宋_GB2312" w:eastAsia="仿宋_GB2312" w:cs="仿宋_GB2312"/>
          <w:sz w:val="32"/>
          <w:szCs w:val="32"/>
        </w:rPr>
        <w:t>有关部门、事发地</w:t>
      </w:r>
      <w:r>
        <w:rPr>
          <w:rFonts w:hint="eastAsia" w:cs="仿宋_GB2312"/>
          <w:sz w:val="32"/>
          <w:szCs w:val="32"/>
          <w:lang w:val="en-US" w:eastAsia="zh-CN"/>
        </w:rPr>
        <w:t>乡（镇）</w:t>
      </w:r>
      <w:r>
        <w:rPr>
          <w:rFonts w:hint="eastAsia" w:ascii="仿宋_GB2312" w:hAnsi="仿宋_GB2312" w:eastAsia="仿宋_GB2312" w:cs="仿宋_GB2312"/>
          <w:sz w:val="32"/>
          <w:szCs w:val="32"/>
        </w:rPr>
        <w:t>政府、应急救援队伍、工作组、应急救援专家组和事故发生单位等。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20" w:name="_Toc27148"/>
      <w:r>
        <w:rPr>
          <w:rFonts w:hint="eastAsia" w:ascii="楷体_GB2312" w:hAnsi="楷体_GB2312" w:eastAsia="楷体_GB2312" w:cs="楷体_GB2312"/>
          <w:sz w:val="32"/>
          <w:szCs w:val="32"/>
        </w:rPr>
        <w:t>2.1永泰县危险化学品事故应急指挥部</w:t>
      </w:r>
      <w:bookmarkEnd w:id="2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总指挥由分管副县长担任，副总指挥由县政府办副主任以及县应急管理局、公安局、交通局、福州市永泰生态环境局、卫健局</w:t>
      </w:r>
      <w:r>
        <w:rPr>
          <w:rFonts w:hint="eastAsia" w:cs="仿宋_GB2312"/>
          <w:sz w:val="32"/>
          <w:szCs w:val="32"/>
          <w:lang w:val="en-US" w:eastAsia="zh-CN"/>
        </w:rPr>
        <w:t>等</w:t>
      </w:r>
      <w:r>
        <w:rPr>
          <w:rFonts w:hint="eastAsia" w:ascii="仿宋_GB2312" w:hAnsi="仿宋_GB2312" w:eastAsia="仿宋_GB2312" w:cs="仿宋_GB2312"/>
          <w:sz w:val="32"/>
          <w:szCs w:val="32"/>
        </w:rPr>
        <w:t>分管负责人担任，常务副总指挥由县应急管理局局长担任，成员包括县委宣传部、县商务局、财政局、民政局、县市场监管局、气象局、武警永泰大队和县消防大队等单位分管负责人。应急指挥部办公室设在县应急管理局，负责指挥部日常管理工作。设立事故报警电话，并以报警电话“0591-2483</w:t>
      </w:r>
      <w:r>
        <w:rPr>
          <w:rFonts w:hint="eastAsia" w:cs="仿宋_GB2312"/>
          <w:sz w:val="32"/>
          <w:szCs w:val="32"/>
          <w:lang w:val="en-US" w:eastAsia="zh-CN"/>
        </w:rPr>
        <w:t>7495</w:t>
      </w:r>
      <w:r>
        <w:rPr>
          <w:rFonts w:hint="eastAsia" w:ascii="仿宋_GB2312" w:hAnsi="仿宋_GB2312" w:eastAsia="仿宋_GB2312" w:cs="仿宋_GB2312"/>
          <w:sz w:val="32"/>
          <w:szCs w:val="32"/>
        </w:rPr>
        <w:t>”为24小时值班接警电话。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21" w:name="_Toc23392"/>
      <w:r>
        <w:rPr>
          <w:rFonts w:hint="eastAsia" w:ascii="楷体_GB2312" w:hAnsi="楷体_GB2312" w:eastAsia="楷体_GB2312" w:cs="楷体_GB2312"/>
          <w:sz w:val="32"/>
          <w:szCs w:val="32"/>
        </w:rPr>
        <w:t>2.2 应急组织机构职责</w:t>
      </w:r>
      <w:bookmarkEnd w:id="2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2.2.1 永泰县危险化学品事故应急指挥部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永泰县危险化学品事故应急指挥部在</w:t>
      </w:r>
      <w:r>
        <w:rPr>
          <w:rFonts w:hint="eastAsia" w:cs="仿宋_GB2312"/>
          <w:sz w:val="32"/>
          <w:szCs w:val="32"/>
          <w:lang w:val="en-US" w:eastAsia="zh-CN"/>
        </w:rPr>
        <w:t>县</w:t>
      </w:r>
      <w:r>
        <w:rPr>
          <w:rFonts w:hint="eastAsia" w:ascii="仿宋_GB2312" w:hAnsi="仿宋_GB2312" w:eastAsia="仿宋_GB2312" w:cs="仿宋_GB2312"/>
          <w:sz w:val="32"/>
          <w:szCs w:val="32"/>
        </w:rPr>
        <w:t>政府的统一领导下，负责建立健全应急指挥系统、应急联动机制、应急队伍、物资保障及调动制度；加强预警监测系统和信息分析系统建设，提高危险化学品事故的监测预警能力；决定本预案的启动。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2.2.2 </w:t>
      </w:r>
      <w:r>
        <w:rPr>
          <w:rFonts w:hint="eastAsia" w:cs="仿宋_GB2312"/>
          <w:sz w:val="32"/>
          <w:szCs w:val="32"/>
          <w:lang w:val="en-US" w:eastAsia="zh-CN"/>
        </w:rPr>
        <w:t>指挥部</w:t>
      </w:r>
      <w:r>
        <w:rPr>
          <w:rFonts w:hint="eastAsia" w:ascii="仿宋_GB2312" w:hAnsi="仿宋_GB2312" w:eastAsia="仿宋_GB2312" w:cs="仿宋_GB2312"/>
          <w:sz w:val="32"/>
          <w:szCs w:val="32"/>
        </w:rPr>
        <w:t>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cs="仿宋_GB2312"/>
          <w:sz w:val="32"/>
          <w:szCs w:val="32"/>
          <w:lang w:val="en-US" w:eastAsia="zh-CN"/>
        </w:rPr>
        <w:t>指挥部</w:t>
      </w:r>
      <w:r>
        <w:rPr>
          <w:rFonts w:hint="eastAsia" w:ascii="仿宋_GB2312" w:hAnsi="仿宋_GB2312" w:eastAsia="仿宋_GB2312" w:cs="仿宋_GB2312"/>
          <w:sz w:val="32"/>
          <w:szCs w:val="32"/>
        </w:rPr>
        <w:t>办公室是永泰县危险化学品事故应急指挥部的日常工作机构。组织编制和管理</w:t>
      </w:r>
      <w:r>
        <w:rPr>
          <w:rFonts w:hint="eastAsia" w:cs="仿宋_GB2312"/>
          <w:sz w:val="32"/>
          <w:szCs w:val="32"/>
          <w:lang w:val="en-US" w:eastAsia="zh-CN"/>
        </w:rPr>
        <w:t>县</w:t>
      </w:r>
      <w:r>
        <w:rPr>
          <w:rFonts w:hint="eastAsia" w:ascii="仿宋_GB2312" w:hAnsi="仿宋_GB2312" w:eastAsia="仿宋_GB2312" w:cs="仿宋_GB2312"/>
          <w:sz w:val="32"/>
          <w:szCs w:val="32"/>
        </w:rPr>
        <w:t>危险化学品事故应急预案，综合协调、指导各</w:t>
      </w:r>
      <w:r>
        <w:rPr>
          <w:rFonts w:hint="eastAsia" w:cs="仿宋_GB2312"/>
          <w:sz w:val="32"/>
          <w:szCs w:val="32"/>
          <w:lang w:val="en-US" w:eastAsia="zh-CN"/>
        </w:rPr>
        <w:t>乡（镇）</w:t>
      </w:r>
      <w:r>
        <w:rPr>
          <w:rFonts w:hint="eastAsia" w:ascii="仿宋_GB2312" w:hAnsi="仿宋_GB2312" w:eastAsia="仿宋_GB2312" w:cs="仿宋_GB2312"/>
          <w:sz w:val="32"/>
          <w:szCs w:val="32"/>
        </w:rPr>
        <w:t>和各专业应急救援机构有关安全生产应急管理工作；检查督促</w:t>
      </w:r>
      <w:r>
        <w:rPr>
          <w:rFonts w:hint="eastAsia" w:cs="仿宋_GB2312"/>
          <w:sz w:val="32"/>
          <w:szCs w:val="32"/>
          <w:lang w:val="en-US" w:eastAsia="zh-CN"/>
        </w:rPr>
        <w:t>乡（镇）</w:t>
      </w:r>
      <w:r>
        <w:rPr>
          <w:rFonts w:hint="eastAsia" w:ascii="仿宋_GB2312" w:hAnsi="仿宋_GB2312" w:eastAsia="仿宋_GB2312" w:cs="仿宋_GB2312"/>
          <w:sz w:val="32"/>
          <w:szCs w:val="32"/>
        </w:rPr>
        <w:t>政府制定事故应急预案</w:t>
      </w:r>
      <w:r>
        <w:rPr>
          <w:rFonts w:hint="eastAsia" w:cs="仿宋_GB2312"/>
          <w:sz w:val="32"/>
          <w:szCs w:val="32"/>
          <w:lang w:eastAsia="zh-CN"/>
        </w:rPr>
        <w:t>，</w:t>
      </w:r>
      <w:r>
        <w:rPr>
          <w:rFonts w:hint="eastAsia" w:ascii="仿宋_GB2312" w:hAnsi="仿宋_GB2312" w:eastAsia="仿宋_GB2312" w:cs="仿宋_GB2312"/>
          <w:sz w:val="32"/>
          <w:szCs w:val="32"/>
        </w:rPr>
        <w:t>指导全县危险化学品事故应急宣传教育和应急预案演练等工作</w:t>
      </w:r>
      <w:r>
        <w:rPr>
          <w:rFonts w:hint="eastAsia" w:cs="仿宋_GB2312"/>
          <w:sz w:val="32"/>
          <w:szCs w:val="32"/>
          <w:lang w:eastAsia="zh-CN"/>
        </w:rPr>
        <w:t>，</w:t>
      </w:r>
      <w:r>
        <w:rPr>
          <w:rFonts w:hint="eastAsia" w:ascii="仿宋_GB2312" w:hAnsi="仿宋_GB2312" w:eastAsia="仿宋_GB2312" w:cs="仿宋_GB2312"/>
          <w:sz w:val="32"/>
          <w:szCs w:val="32"/>
        </w:rPr>
        <w:t>做好事故应急救援的相关准备工作；接到事故或险情报告后，迅速报告应急指挥部</w:t>
      </w:r>
      <w:r>
        <w:rPr>
          <w:rFonts w:hint="eastAsia" w:cs="仿宋_GB2312"/>
          <w:sz w:val="32"/>
          <w:szCs w:val="32"/>
          <w:lang w:val="en-US" w:eastAsia="zh-CN"/>
        </w:rPr>
        <w:t>总指挥</w:t>
      </w:r>
      <w:r>
        <w:rPr>
          <w:rFonts w:hint="eastAsia" w:ascii="仿宋_GB2312" w:hAnsi="仿宋_GB2312" w:eastAsia="仿宋_GB2312" w:cs="仿宋_GB2312"/>
          <w:sz w:val="32"/>
          <w:szCs w:val="32"/>
        </w:rPr>
        <w:t>，并通知有关成员单位和人员立即进入工作准备状态。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2.2.3 </w:t>
      </w:r>
      <w:r>
        <w:rPr>
          <w:rFonts w:hint="eastAsia" w:cs="仿宋_GB2312"/>
          <w:sz w:val="32"/>
          <w:szCs w:val="32"/>
          <w:lang w:eastAsia="zh-CN"/>
        </w:rPr>
        <w:t>现场应急指挥部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cs="仿宋_GB2312"/>
          <w:sz w:val="32"/>
          <w:szCs w:val="32"/>
          <w:lang w:eastAsia="zh-CN"/>
        </w:rPr>
        <w:t>现场应急</w:t>
      </w:r>
      <w:r>
        <w:rPr>
          <w:rFonts w:hint="eastAsia" w:ascii="仿宋_GB2312" w:hAnsi="仿宋_GB2312" w:eastAsia="仿宋_GB2312" w:cs="仿宋_GB2312"/>
          <w:sz w:val="32"/>
          <w:szCs w:val="32"/>
        </w:rPr>
        <w:t>指挥部是发生危险化学品事故后成立的临时机构，现场指挥工作实行指挥负责制。应急指挥部领导赶赴现场指挥事故应急救援时，现场指挥部指挥长必要时移交现场指挥权</w:t>
      </w:r>
      <w:r>
        <w:rPr>
          <w:rFonts w:hint="eastAsia" w:cs="仿宋_GB2312"/>
          <w:sz w:val="32"/>
          <w:szCs w:val="32"/>
          <w:lang w:eastAsia="zh-CN"/>
        </w:rPr>
        <w:t>。</w:t>
      </w:r>
      <w:r>
        <w:rPr>
          <w:rFonts w:hint="eastAsia" w:ascii="仿宋_GB2312" w:hAnsi="仿宋_GB2312" w:eastAsia="仿宋_GB2312" w:cs="仿宋_GB2312"/>
          <w:sz w:val="32"/>
          <w:szCs w:val="32"/>
        </w:rPr>
        <w:t>现场指挥部成员由</w:t>
      </w:r>
      <w:r>
        <w:rPr>
          <w:rFonts w:hint="eastAsia" w:cs="仿宋_GB2312"/>
          <w:sz w:val="32"/>
          <w:szCs w:val="32"/>
          <w:lang w:val="en-US" w:eastAsia="zh-CN"/>
        </w:rPr>
        <w:t>县危险化学品事故应急指挥部指定有关人员组成，成员主要由事发地乡（镇）、</w:t>
      </w:r>
      <w:r>
        <w:rPr>
          <w:rFonts w:hint="eastAsia" w:ascii="仿宋_GB2312" w:hAnsi="仿宋_GB2312" w:eastAsia="仿宋_GB2312" w:cs="仿宋_GB2312"/>
          <w:sz w:val="32"/>
          <w:szCs w:val="32"/>
        </w:rPr>
        <w:t>专家组、应急指挥部成员单位、事故发生单位的有关人员组成。指挥部代表</w:t>
      </w:r>
      <w:r>
        <w:rPr>
          <w:rFonts w:hint="eastAsia" w:cs="仿宋_GB2312"/>
          <w:sz w:val="32"/>
          <w:szCs w:val="32"/>
          <w:lang w:val="en-US" w:eastAsia="zh-CN"/>
        </w:rPr>
        <w:t>县</w:t>
      </w:r>
      <w:r>
        <w:rPr>
          <w:rFonts w:hint="eastAsia" w:ascii="仿宋_GB2312" w:hAnsi="仿宋_GB2312" w:eastAsia="仿宋_GB2312" w:cs="仿宋_GB2312"/>
          <w:sz w:val="32"/>
          <w:szCs w:val="32"/>
        </w:rPr>
        <w:t>政府履行事故应急处置职责，负责制定和组织实施</w:t>
      </w:r>
      <w:r>
        <w:rPr>
          <w:rFonts w:hint="eastAsia" w:cs="仿宋_GB2312"/>
          <w:sz w:val="32"/>
          <w:szCs w:val="32"/>
          <w:lang w:val="en-US" w:eastAsia="zh-CN"/>
        </w:rPr>
        <w:t>一般危险化学品</w:t>
      </w:r>
      <w:r>
        <w:rPr>
          <w:rFonts w:hint="eastAsia" w:ascii="仿宋_GB2312" w:hAnsi="仿宋_GB2312" w:eastAsia="仿宋_GB2312" w:cs="仿宋_GB2312"/>
          <w:sz w:val="32"/>
          <w:szCs w:val="32"/>
        </w:rPr>
        <w:t>事故应急处置的具体方案</w:t>
      </w:r>
      <w:r>
        <w:rPr>
          <w:rFonts w:hint="eastAsia" w:cs="仿宋_GB2312"/>
          <w:sz w:val="32"/>
          <w:szCs w:val="32"/>
          <w:lang w:val="en-US" w:eastAsia="zh-CN"/>
        </w:rPr>
        <w:t>和较大及以上危险化学品事故的先期应急处置工作</w:t>
      </w:r>
      <w:r>
        <w:rPr>
          <w:rFonts w:hint="eastAsia" w:ascii="仿宋_GB2312" w:hAnsi="仿宋_GB2312" w:eastAsia="仿宋_GB2312" w:cs="仿宋_GB2312"/>
          <w:sz w:val="32"/>
          <w:szCs w:val="32"/>
        </w:rPr>
        <w:t>，指挥协调参与应急救援的队伍和人员开展应急救援行动，及时向</w:t>
      </w:r>
      <w:r>
        <w:rPr>
          <w:rFonts w:hint="eastAsia" w:cs="仿宋_GB2312"/>
          <w:sz w:val="32"/>
          <w:szCs w:val="32"/>
          <w:lang w:val="en-US" w:eastAsia="zh-CN"/>
        </w:rPr>
        <w:t>县</w:t>
      </w:r>
      <w:r>
        <w:rPr>
          <w:rFonts w:hint="eastAsia" w:ascii="仿宋_GB2312" w:hAnsi="仿宋_GB2312" w:eastAsia="仿宋_GB2312" w:cs="仿宋_GB2312"/>
          <w:sz w:val="32"/>
          <w:szCs w:val="32"/>
        </w:rPr>
        <w:t>委、</w:t>
      </w:r>
      <w:r>
        <w:rPr>
          <w:rFonts w:hint="eastAsia" w:cs="仿宋_GB2312"/>
          <w:sz w:val="32"/>
          <w:szCs w:val="32"/>
          <w:lang w:val="en-US" w:eastAsia="zh-CN"/>
        </w:rPr>
        <w:t>县</w:t>
      </w:r>
      <w:r>
        <w:rPr>
          <w:rFonts w:hint="eastAsia" w:ascii="仿宋_GB2312" w:hAnsi="仿宋_GB2312" w:eastAsia="仿宋_GB2312" w:cs="仿宋_GB2312"/>
          <w:sz w:val="32"/>
          <w:szCs w:val="32"/>
        </w:rPr>
        <w:t>政府和</w:t>
      </w:r>
      <w:r>
        <w:rPr>
          <w:rFonts w:hint="eastAsia" w:cs="仿宋_GB2312"/>
          <w:sz w:val="32"/>
          <w:szCs w:val="32"/>
          <w:lang w:val="en-US" w:eastAsia="zh-CN"/>
        </w:rPr>
        <w:t>市</w:t>
      </w:r>
      <w:r>
        <w:rPr>
          <w:rFonts w:hint="eastAsia" w:ascii="仿宋_GB2312" w:hAnsi="仿宋_GB2312" w:eastAsia="仿宋_GB2312" w:cs="仿宋_GB2312"/>
          <w:sz w:val="32"/>
          <w:szCs w:val="32"/>
        </w:rPr>
        <w:t>应急</w:t>
      </w:r>
      <w:r>
        <w:rPr>
          <w:rFonts w:hint="eastAsia" w:cs="仿宋_GB2312"/>
          <w:sz w:val="32"/>
          <w:szCs w:val="32"/>
          <w:lang w:val="en-US" w:eastAsia="zh-CN"/>
        </w:rPr>
        <w:t>局</w:t>
      </w:r>
      <w:r>
        <w:rPr>
          <w:rFonts w:hint="eastAsia" w:ascii="仿宋_GB2312" w:hAnsi="仿宋_GB2312" w:eastAsia="仿宋_GB2312" w:cs="仿宋_GB2312"/>
          <w:sz w:val="32"/>
          <w:szCs w:val="32"/>
        </w:rPr>
        <w:t>报告事故发展态势及救援情况。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根据工作需要，指挥部下设</w:t>
      </w:r>
      <w:r>
        <w:rPr>
          <w:rFonts w:hint="eastAsia" w:cs="仿宋_GB2312"/>
          <w:sz w:val="32"/>
          <w:szCs w:val="32"/>
          <w:lang w:val="en-US" w:eastAsia="zh-CN"/>
        </w:rPr>
        <w:t>9</w:t>
      </w:r>
      <w:r>
        <w:rPr>
          <w:rFonts w:hint="eastAsia" w:ascii="仿宋_GB2312" w:hAnsi="仿宋_GB2312" w:eastAsia="仿宋_GB2312" w:cs="仿宋_GB2312"/>
          <w:sz w:val="32"/>
          <w:szCs w:val="32"/>
        </w:rPr>
        <w:t>个工作小组（根据工作需要可作调整）：</w:t>
      </w:r>
    </w:p>
    <w:tbl>
      <w:tblPr>
        <w:tblStyle w:val="8"/>
        <w:tblW w:w="8952" w:type="dxa"/>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6"/>
        <w:gridCol w:w="1276"/>
        <w:gridCol w:w="6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556" w:type="dxa"/>
            <w:tcBorders>
              <w:top w:val="single" w:color="auto" w:sz="4" w:space="0"/>
              <w:left w:val="single" w:color="auto" w:sz="4" w:space="0"/>
              <w:bottom w:val="single" w:color="auto" w:sz="4" w:space="0"/>
              <w:right w:val="single" w:color="auto" w:sz="4" w:space="0"/>
            </w:tcBorders>
            <w:noWrap w:val="0"/>
            <w:vAlign w:val="center"/>
          </w:tcPr>
          <w:p>
            <w:pPr>
              <w:pStyle w:val="12"/>
              <w:spacing w:before="28"/>
              <w:ind w:left="295"/>
              <w:jc w:val="left"/>
              <w:rPr>
                <w:b/>
                <w:color w:val="000000"/>
                <w:sz w:val="24"/>
              </w:rPr>
            </w:pPr>
            <w:r>
              <w:rPr>
                <w:b/>
                <w:color w:val="000000"/>
                <w:sz w:val="24"/>
              </w:rPr>
              <w:t>应急小组</w:t>
            </w:r>
          </w:p>
        </w:tc>
        <w:tc>
          <w:tcPr>
            <w:tcW w:w="7396" w:type="dxa"/>
            <w:gridSpan w:val="2"/>
            <w:tcBorders>
              <w:top w:val="single" w:color="auto" w:sz="4" w:space="0"/>
              <w:left w:val="single" w:color="auto" w:sz="4" w:space="0"/>
              <w:bottom w:val="single" w:color="auto" w:sz="4" w:space="0"/>
              <w:right w:val="single" w:color="auto" w:sz="4" w:space="0"/>
            </w:tcBorders>
            <w:noWrap w:val="0"/>
            <w:vAlign w:val="center"/>
          </w:tcPr>
          <w:p>
            <w:pPr>
              <w:pStyle w:val="12"/>
              <w:spacing w:before="28"/>
              <w:ind w:left="2229" w:right="2224"/>
              <w:rPr>
                <w:b/>
                <w:color w:val="000000"/>
                <w:sz w:val="24"/>
              </w:rPr>
            </w:pPr>
            <w:r>
              <w:rPr>
                <w:b/>
                <w:color w:val="000000"/>
                <w:sz w:val="24"/>
              </w:rPr>
              <w:t>应急救援工作组组成及职责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556" w:type="dxa"/>
            <w:vMerge w:val="restart"/>
            <w:tcBorders>
              <w:top w:val="single" w:color="auto" w:sz="4" w:space="0"/>
              <w:left w:val="single" w:color="auto" w:sz="4" w:space="0"/>
              <w:bottom w:val="single" w:color="auto" w:sz="4" w:space="0"/>
              <w:right w:val="single" w:color="auto" w:sz="4" w:space="0"/>
            </w:tcBorders>
            <w:noWrap w:val="0"/>
            <w:vAlign w:val="center"/>
          </w:tcPr>
          <w:p>
            <w:pPr>
              <w:pStyle w:val="12"/>
              <w:spacing w:before="189"/>
              <w:jc w:val="center"/>
              <w:rPr>
                <w:color w:val="000000"/>
                <w:sz w:val="24"/>
              </w:rPr>
            </w:pPr>
            <w:r>
              <w:rPr>
                <w:color w:val="000000"/>
                <w:sz w:val="24"/>
              </w:rPr>
              <w:t>综合协调组</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spacing w:line="290" w:lineRule="exact"/>
              <w:ind w:right="129"/>
              <w:jc w:val="center"/>
              <w:rPr>
                <w:color w:val="000000"/>
                <w:sz w:val="24"/>
              </w:rPr>
            </w:pPr>
            <w:r>
              <w:rPr>
                <w:color w:val="000000"/>
                <w:sz w:val="24"/>
              </w:rPr>
              <w:t>牵头单位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line="290" w:lineRule="exact"/>
              <w:jc w:val="both"/>
              <w:rPr>
                <w:rFonts w:hint="eastAsia" w:eastAsia="仿宋"/>
                <w:color w:val="000000"/>
                <w:sz w:val="24"/>
                <w:lang w:eastAsia="zh-CN"/>
              </w:rPr>
            </w:pPr>
            <w:r>
              <w:rPr>
                <w:rFonts w:hint="eastAsia"/>
                <w:color w:val="000000"/>
                <w:sz w:val="24"/>
                <w:lang w:eastAsia="zh-CN"/>
              </w:rPr>
              <w:t>县应急管理局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spacing w:line="292" w:lineRule="exact"/>
              <w:ind w:right="129"/>
              <w:jc w:val="center"/>
              <w:rPr>
                <w:color w:val="000000"/>
                <w:sz w:val="24"/>
              </w:rPr>
            </w:pPr>
            <w:r>
              <w:rPr>
                <w:color w:val="000000"/>
                <w:sz w:val="24"/>
              </w:rPr>
              <w:t>成员单位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line="292" w:lineRule="exact"/>
              <w:jc w:val="both"/>
              <w:rPr>
                <w:color w:val="000000"/>
                <w:sz w:val="24"/>
              </w:rPr>
            </w:pPr>
            <w:r>
              <w:rPr>
                <w:rFonts w:hint="eastAsia"/>
                <w:color w:val="000000"/>
                <w:sz w:val="24"/>
                <w:lang w:eastAsia="zh-CN"/>
              </w:rPr>
              <w:t>县公安局</w:t>
            </w:r>
            <w:r>
              <w:rPr>
                <w:color w:val="000000"/>
                <w:sz w:val="24"/>
              </w:rPr>
              <w:t>、事发地</w:t>
            </w:r>
            <w:r>
              <w:rPr>
                <w:rFonts w:hint="eastAsia"/>
                <w:color w:val="000000"/>
                <w:sz w:val="24"/>
                <w:lang w:eastAsia="zh-CN"/>
              </w:rPr>
              <w:t>乡（镇）</w:t>
            </w:r>
            <w:r>
              <w:rPr>
                <w:color w:val="000000"/>
                <w:sz w:val="24"/>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spacing w:before="176"/>
              <w:ind w:right="129"/>
              <w:jc w:val="center"/>
              <w:rPr>
                <w:color w:val="000000"/>
                <w:sz w:val="24"/>
              </w:rPr>
            </w:pPr>
            <w:r>
              <w:rPr>
                <w:color w:val="000000"/>
                <w:sz w:val="24"/>
              </w:rPr>
              <w:t>职责</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before="17"/>
              <w:jc w:val="both"/>
              <w:rPr>
                <w:color w:val="000000"/>
                <w:sz w:val="24"/>
              </w:rPr>
            </w:pPr>
            <w:r>
              <w:rPr>
                <w:color w:val="000000"/>
                <w:sz w:val="24"/>
              </w:rPr>
              <w:t>①协调各专业应急小组的救援工作；</w:t>
            </w:r>
          </w:p>
          <w:p>
            <w:pPr>
              <w:pStyle w:val="12"/>
              <w:spacing w:before="3"/>
              <w:jc w:val="both"/>
              <w:rPr>
                <w:color w:val="000000"/>
                <w:sz w:val="24"/>
              </w:rPr>
            </w:pPr>
            <w:r>
              <w:rPr>
                <w:color w:val="000000"/>
                <w:sz w:val="24"/>
              </w:rPr>
              <w:t>②协调调配救援人员、物资、设备器材等；</w:t>
            </w:r>
          </w:p>
          <w:p>
            <w:pPr>
              <w:pStyle w:val="12"/>
              <w:spacing w:before="4" w:line="242" w:lineRule="auto"/>
              <w:ind w:right="98"/>
              <w:jc w:val="both"/>
              <w:rPr>
                <w:color w:val="000000"/>
                <w:sz w:val="24"/>
              </w:rPr>
            </w:pPr>
            <w:r>
              <w:rPr>
                <w:color w:val="000000"/>
                <w:spacing w:val="-6"/>
                <w:sz w:val="24"/>
              </w:rPr>
              <w:t>③负责收集整理事故动态信息及处置工作情况，并按规定</w:t>
            </w:r>
            <w:r>
              <w:rPr>
                <w:color w:val="000000"/>
                <w:sz w:val="24"/>
              </w:rPr>
              <w:t>上报和通报。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56" w:type="dxa"/>
            <w:vMerge w:val="restart"/>
            <w:tcBorders>
              <w:top w:val="single" w:color="auto" w:sz="4" w:space="0"/>
              <w:left w:val="single" w:color="auto" w:sz="4" w:space="0"/>
              <w:bottom w:val="single" w:color="auto" w:sz="4" w:space="0"/>
              <w:right w:val="single" w:color="auto" w:sz="4" w:space="0"/>
            </w:tcBorders>
            <w:noWrap w:val="0"/>
            <w:vAlign w:val="center"/>
          </w:tcPr>
          <w:p>
            <w:pPr>
              <w:pStyle w:val="12"/>
              <w:spacing w:before="171"/>
              <w:jc w:val="center"/>
              <w:rPr>
                <w:color w:val="000000"/>
                <w:sz w:val="24"/>
              </w:rPr>
            </w:pPr>
            <w:r>
              <w:rPr>
                <w:color w:val="000000"/>
                <w:sz w:val="24"/>
              </w:rPr>
              <w:t>抢险救援组</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spacing w:line="292" w:lineRule="exact"/>
              <w:ind w:right="129"/>
              <w:jc w:val="center"/>
              <w:rPr>
                <w:color w:val="000000"/>
                <w:sz w:val="24"/>
              </w:rPr>
            </w:pPr>
            <w:r>
              <w:rPr>
                <w:color w:val="000000"/>
                <w:sz w:val="24"/>
              </w:rPr>
              <w:t>牵头单位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line="292" w:lineRule="exact"/>
              <w:jc w:val="both"/>
              <w:rPr>
                <w:rFonts w:hint="eastAsia" w:eastAsia="仿宋"/>
                <w:color w:val="000000"/>
                <w:sz w:val="24"/>
                <w:lang w:eastAsia="zh-CN"/>
              </w:rPr>
            </w:pPr>
            <w:r>
              <w:rPr>
                <w:rFonts w:hint="eastAsia"/>
                <w:color w:val="000000"/>
                <w:sz w:val="24"/>
                <w:lang w:eastAsia="zh-CN"/>
              </w:rPr>
              <w:t>县消防救援大队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spacing w:before="145"/>
              <w:ind w:right="129"/>
              <w:jc w:val="center"/>
              <w:rPr>
                <w:color w:val="000000"/>
                <w:sz w:val="24"/>
              </w:rPr>
            </w:pPr>
            <w:r>
              <w:rPr>
                <w:color w:val="000000"/>
                <w:sz w:val="24"/>
              </w:rPr>
              <w:t>成员单位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before="5" w:line="301" w:lineRule="exact"/>
              <w:jc w:val="both"/>
              <w:rPr>
                <w:color w:val="000000"/>
                <w:sz w:val="24"/>
              </w:rPr>
            </w:pPr>
            <w:r>
              <w:rPr>
                <w:rFonts w:hint="eastAsia"/>
                <w:color w:val="000000"/>
                <w:sz w:val="24"/>
                <w:lang w:eastAsia="zh-CN"/>
              </w:rPr>
              <w:t>县应急管理局</w:t>
            </w:r>
            <w:r>
              <w:rPr>
                <w:color w:val="000000"/>
                <w:sz w:val="24"/>
              </w:rPr>
              <w:t>、</w:t>
            </w:r>
            <w:r>
              <w:rPr>
                <w:rFonts w:hint="eastAsia"/>
                <w:color w:val="000000"/>
                <w:sz w:val="24"/>
                <w:lang w:eastAsia="zh-CN"/>
              </w:rPr>
              <w:t>县公安局</w:t>
            </w:r>
            <w:r>
              <w:rPr>
                <w:color w:val="000000"/>
                <w:sz w:val="24"/>
              </w:rPr>
              <w:t>、</w:t>
            </w:r>
            <w:r>
              <w:rPr>
                <w:rFonts w:hint="eastAsia"/>
                <w:color w:val="000000"/>
                <w:sz w:val="24"/>
                <w:lang w:eastAsia="zh-CN"/>
              </w:rPr>
              <w:t>永泰县供电公司</w:t>
            </w:r>
            <w:r>
              <w:rPr>
                <w:color w:val="000000"/>
                <w:sz w:val="24"/>
              </w:rPr>
              <w:t>、</w:t>
            </w:r>
            <w:r>
              <w:rPr>
                <w:rFonts w:hint="eastAsia"/>
                <w:color w:val="000000"/>
                <w:sz w:val="24"/>
                <w:lang w:val="en-US" w:eastAsia="zh-CN"/>
              </w:rPr>
              <w:t>县卫生健康局</w:t>
            </w:r>
            <w:r>
              <w:rPr>
                <w:color w:val="000000"/>
                <w:sz w:val="24"/>
              </w:rPr>
              <w:t>、事故发生单位等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ind w:right="129"/>
              <w:jc w:val="center"/>
              <w:rPr>
                <w:color w:val="000000"/>
                <w:sz w:val="24"/>
              </w:rPr>
            </w:pPr>
            <w:r>
              <w:rPr>
                <w:color w:val="000000"/>
                <w:sz w:val="24"/>
              </w:rPr>
              <w:t>职责</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line="297" w:lineRule="exact"/>
              <w:jc w:val="both"/>
              <w:rPr>
                <w:color w:val="000000"/>
                <w:sz w:val="24"/>
              </w:rPr>
            </w:pPr>
            <w:r>
              <w:rPr>
                <w:color w:val="000000"/>
                <w:sz w:val="24"/>
              </w:rPr>
              <w:t>①扑灭事故现场火灾；</w:t>
            </w:r>
          </w:p>
          <w:p>
            <w:pPr>
              <w:pStyle w:val="12"/>
              <w:spacing w:before="4"/>
              <w:jc w:val="both"/>
              <w:rPr>
                <w:color w:val="000000"/>
                <w:sz w:val="24"/>
              </w:rPr>
            </w:pPr>
            <w:r>
              <w:rPr>
                <w:color w:val="000000"/>
                <w:sz w:val="24"/>
              </w:rPr>
              <w:t>②对现场受伤和失踪人员进行搜救；</w:t>
            </w:r>
          </w:p>
          <w:p>
            <w:pPr>
              <w:pStyle w:val="12"/>
              <w:spacing w:before="3"/>
              <w:jc w:val="both"/>
              <w:rPr>
                <w:color w:val="000000"/>
                <w:sz w:val="24"/>
              </w:rPr>
            </w:pPr>
            <w:r>
              <w:rPr>
                <w:color w:val="000000"/>
                <w:sz w:val="24"/>
              </w:rPr>
              <w:t>③参与易燃易爆、有毒物质泄漏的处置；</w:t>
            </w:r>
          </w:p>
          <w:p>
            <w:pPr>
              <w:pStyle w:val="12"/>
              <w:spacing w:before="4"/>
              <w:jc w:val="both"/>
              <w:rPr>
                <w:color w:val="000000"/>
                <w:sz w:val="24"/>
              </w:rPr>
            </w:pPr>
            <w:r>
              <w:rPr>
                <w:color w:val="000000"/>
                <w:sz w:val="24"/>
              </w:rPr>
              <w:t>④负责制定应急救援方案，报应急指挥部审定后实施；</w:t>
            </w:r>
          </w:p>
          <w:p>
            <w:pPr>
              <w:pStyle w:val="12"/>
              <w:spacing w:before="4"/>
              <w:jc w:val="both"/>
              <w:rPr>
                <w:color w:val="000000"/>
                <w:sz w:val="24"/>
              </w:rPr>
            </w:pPr>
            <w:r>
              <w:rPr>
                <w:color w:val="000000"/>
                <w:sz w:val="24"/>
              </w:rPr>
              <w:t>⑤制定并实施防止事故扩大的安全防范措施；</w:t>
            </w:r>
          </w:p>
          <w:p>
            <w:pPr>
              <w:pStyle w:val="12"/>
              <w:spacing w:before="1" w:line="310" w:lineRule="atLeast"/>
              <w:ind w:right="98"/>
              <w:jc w:val="both"/>
              <w:rPr>
                <w:color w:val="000000"/>
                <w:sz w:val="24"/>
              </w:rPr>
            </w:pPr>
            <w:r>
              <w:rPr>
                <w:color w:val="000000"/>
                <w:spacing w:val="-8"/>
                <w:sz w:val="24"/>
              </w:rPr>
              <w:t>⑥做好事故过程中和事故后有毒、腐蚀等有害物质的清理</w:t>
            </w:r>
            <w:r>
              <w:rPr>
                <w:color w:val="000000"/>
                <w:sz w:val="24"/>
              </w:rPr>
              <w:t>控制工作。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56" w:type="dxa"/>
            <w:vMerge w:val="restart"/>
            <w:tcBorders>
              <w:top w:val="single" w:color="auto" w:sz="4" w:space="0"/>
              <w:left w:val="single" w:color="auto" w:sz="4" w:space="0"/>
              <w:bottom w:val="single" w:color="auto" w:sz="4" w:space="0"/>
              <w:right w:val="single" w:color="auto" w:sz="4" w:space="0"/>
            </w:tcBorders>
            <w:noWrap w:val="0"/>
            <w:vAlign w:val="center"/>
          </w:tcPr>
          <w:p>
            <w:pPr>
              <w:pStyle w:val="12"/>
              <w:spacing w:before="174"/>
              <w:jc w:val="center"/>
              <w:rPr>
                <w:color w:val="000000"/>
                <w:sz w:val="24"/>
              </w:rPr>
            </w:pPr>
            <w:r>
              <w:rPr>
                <w:color w:val="000000"/>
                <w:sz w:val="24"/>
              </w:rPr>
              <w:t>警戒疏散组</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spacing w:line="292" w:lineRule="exact"/>
              <w:ind w:right="129"/>
              <w:jc w:val="center"/>
              <w:rPr>
                <w:color w:val="000000"/>
                <w:sz w:val="24"/>
              </w:rPr>
            </w:pPr>
            <w:r>
              <w:rPr>
                <w:color w:val="000000"/>
                <w:sz w:val="24"/>
              </w:rPr>
              <w:t>牵头单位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line="292" w:lineRule="exact"/>
              <w:jc w:val="both"/>
              <w:rPr>
                <w:rFonts w:hint="eastAsia" w:eastAsia="仿宋"/>
                <w:color w:val="000000"/>
                <w:sz w:val="24"/>
                <w:lang w:eastAsia="zh-CN"/>
              </w:rPr>
            </w:pPr>
            <w:r>
              <w:rPr>
                <w:rFonts w:hint="eastAsia"/>
                <w:color w:val="000000"/>
                <w:sz w:val="24"/>
                <w:lang w:eastAsia="zh-CN"/>
              </w:rPr>
              <w:t>县公安局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spacing w:before="145"/>
              <w:ind w:right="129"/>
              <w:jc w:val="center"/>
              <w:rPr>
                <w:color w:val="000000"/>
                <w:sz w:val="24"/>
              </w:rPr>
            </w:pPr>
            <w:r>
              <w:rPr>
                <w:color w:val="000000"/>
                <w:sz w:val="24"/>
              </w:rPr>
              <w:t>成员单位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line="297" w:lineRule="exact"/>
              <w:jc w:val="both"/>
              <w:rPr>
                <w:color w:val="000000"/>
                <w:sz w:val="24"/>
              </w:rPr>
            </w:pPr>
            <w:r>
              <w:rPr>
                <w:rFonts w:hint="eastAsia"/>
                <w:color w:val="000000"/>
                <w:sz w:val="24"/>
                <w:lang w:eastAsia="zh-CN"/>
              </w:rPr>
              <w:t>县</w:t>
            </w:r>
            <w:r>
              <w:rPr>
                <w:rFonts w:hint="eastAsia"/>
                <w:color w:val="000000"/>
                <w:sz w:val="24"/>
                <w:lang w:val="en-US" w:eastAsia="zh-CN"/>
              </w:rPr>
              <w:t>公安局</w:t>
            </w:r>
            <w:r>
              <w:rPr>
                <w:color w:val="000000"/>
                <w:sz w:val="24"/>
              </w:rPr>
              <w:t>交警大队、</w:t>
            </w:r>
            <w:r>
              <w:rPr>
                <w:rFonts w:hint="eastAsia"/>
                <w:color w:val="000000"/>
                <w:sz w:val="24"/>
                <w:lang w:eastAsia="zh-CN"/>
              </w:rPr>
              <w:t>县交通运输局</w:t>
            </w:r>
            <w:r>
              <w:rPr>
                <w:color w:val="000000"/>
                <w:sz w:val="24"/>
              </w:rPr>
              <w:t>、事发地</w:t>
            </w:r>
            <w:r>
              <w:rPr>
                <w:rFonts w:hint="eastAsia"/>
                <w:color w:val="000000"/>
                <w:sz w:val="24"/>
                <w:lang w:eastAsia="zh-CN"/>
              </w:rPr>
              <w:t>乡（镇）</w:t>
            </w:r>
            <w:r>
              <w:rPr>
                <w:color w:val="000000"/>
                <w:sz w:val="24"/>
              </w:rPr>
              <w:t>、事故发生单位等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ind w:right="129"/>
              <w:jc w:val="center"/>
              <w:rPr>
                <w:color w:val="000000"/>
                <w:sz w:val="24"/>
              </w:rPr>
            </w:pPr>
            <w:r>
              <w:rPr>
                <w:color w:val="000000"/>
                <w:sz w:val="24"/>
              </w:rPr>
              <w:t>职责</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line="242" w:lineRule="auto"/>
              <w:ind w:right="98"/>
              <w:jc w:val="both"/>
              <w:rPr>
                <w:color w:val="000000"/>
                <w:sz w:val="24"/>
              </w:rPr>
            </w:pPr>
            <w:r>
              <w:rPr>
                <w:color w:val="000000"/>
                <w:spacing w:val="-6"/>
                <w:sz w:val="24"/>
              </w:rPr>
              <w:t>①负责界定和组织对事故安全警戒区域内</w:t>
            </w:r>
            <w:r>
              <w:rPr>
                <w:color w:val="000000"/>
                <w:sz w:val="24"/>
              </w:rPr>
              <w:t>（</w:t>
            </w:r>
            <w:r>
              <w:rPr>
                <w:color w:val="000000"/>
                <w:spacing w:val="-3"/>
                <w:sz w:val="24"/>
              </w:rPr>
              <w:t>事故可能危及</w:t>
            </w:r>
            <w:r>
              <w:rPr>
                <w:color w:val="000000"/>
                <w:sz w:val="24"/>
              </w:rPr>
              <w:t>的区域</w:t>
            </w:r>
            <w:r>
              <w:rPr>
                <w:color w:val="000000"/>
                <w:spacing w:val="-48"/>
                <w:sz w:val="24"/>
              </w:rPr>
              <w:t>）</w:t>
            </w:r>
            <w:r>
              <w:rPr>
                <w:color w:val="000000"/>
                <w:spacing w:val="-7"/>
                <w:sz w:val="24"/>
              </w:rPr>
              <w:t>群众的安全疏散，引导群众有序撤离或转移到安</w:t>
            </w:r>
            <w:r>
              <w:rPr>
                <w:color w:val="000000"/>
                <w:sz w:val="24"/>
              </w:rPr>
              <w:t>全区域；</w:t>
            </w:r>
          </w:p>
          <w:p>
            <w:pPr>
              <w:pStyle w:val="12"/>
              <w:spacing w:line="242" w:lineRule="auto"/>
              <w:ind w:right="98"/>
              <w:jc w:val="both"/>
              <w:rPr>
                <w:color w:val="000000"/>
                <w:sz w:val="24"/>
              </w:rPr>
            </w:pPr>
            <w:r>
              <w:rPr>
                <w:color w:val="000000"/>
                <w:spacing w:val="-7"/>
                <w:sz w:val="24"/>
              </w:rPr>
              <w:t>②组织人员对群众撤离区域的治安巡逻，保护好警戒区域</w:t>
            </w:r>
            <w:r>
              <w:rPr>
                <w:color w:val="000000"/>
                <w:sz w:val="24"/>
              </w:rPr>
              <w:t>内人员和财产的安全，维护安全区域内的稳定和治安；</w:t>
            </w:r>
          </w:p>
          <w:p>
            <w:pPr>
              <w:pStyle w:val="12"/>
              <w:spacing w:line="242" w:lineRule="auto"/>
              <w:ind w:right="98"/>
              <w:jc w:val="both"/>
              <w:rPr>
                <w:color w:val="000000"/>
                <w:sz w:val="24"/>
              </w:rPr>
            </w:pPr>
            <w:r>
              <w:rPr>
                <w:color w:val="000000"/>
                <w:spacing w:val="-6"/>
                <w:sz w:val="24"/>
              </w:rPr>
              <w:t>③迅速对事故现场及周边地区和道路进行警戒、实行治安</w:t>
            </w:r>
            <w:r>
              <w:rPr>
                <w:color w:val="000000"/>
                <w:spacing w:val="-11"/>
                <w:sz w:val="24"/>
              </w:rPr>
              <w:t>管制，禁止任何未经指挥部批准的人员、车辆进入危险区</w:t>
            </w:r>
            <w:r>
              <w:rPr>
                <w:color w:val="000000"/>
                <w:sz w:val="24"/>
              </w:rPr>
              <w:t>域；</w:t>
            </w:r>
          </w:p>
          <w:p>
            <w:pPr>
              <w:pStyle w:val="12"/>
              <w:spacing w:line="242" w:lineRule="auto"/>
              <w:ind w:right="98"/>
              <w:jc w:val="both"/>
              <w:rPr>
                <w:color w:val="000000"/>
                <w:sz w:val="24"/>
              </w:rPr>
            </w:pPr>
            <w:r>
              <w:rPr>
                <w:color w:val="000000"/>
                <w:sz w:val="24"/>
              </w:rPr>
              <w:t>④维护事故灾难现场交通秩序，保障救援道路的畅通。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56" w:type="dxa"/>
            <w:vMerge w:val="restart"/>
            <w:tcBorders>
              <w:top w:val="single" w:color="auto" w:sz="4" w:space="0"/>
              <w:left w:val="single" w:color="auto" w:sz="4" w:space="0"/>
              <w:right w:val="single" w:color="auto" w:sz="4" w:space="0"/>
            </w:tcBorders>
            <w:noWrap w:val="0"/>
            <w:vAlign w:val="center"/>
          </w:tcPr>
          <w:p>
            <w:pPr>
              <w:pStyle w:val="12"/>
              <w:spacing w:before="151"/>
              <w:jc w:val="center"/>
              <w:rPr>
                <w:rFonts w:hint="eastAsia" w:eastAsia="仿宋"/>
                <w:color w:val="000000"/>
                <w:sz w:val="24"/>
                <w:lang w:eastAsia="zh-CN"/>
              </w:rPr>
            </w:pPr>
            <w:r>
              <w:rPr>
                <w:rFonts w:hint="eastAsia"/>
                <w:color w:val="000000"/>
                <w:sz w:val="24"/>
                <w:lang w:eastAsia="zh-CN"/>
              </w:rPr>
              <w:t>医疗救护组</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spacing w:line="292" w:lineRule="exact"/>
              <w:ind w:right="129"/>
              <w:jc w:val="center"/>
              <w:rPr>
                <w:color w:val="000000"/>
                <w:sz w:val="24"/>
              </w:rPr>
            </w:pPr>
            <w:r>
              <w:rPr>
                <w:color w:val="000000"/>
                <w:sz w:val="24"/>
              </w:rPr>
              <w:t>牵头单位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line="292" w:lineRule="exact"/>
              <w:jc w:val="both"/>
              <w:rPr>
                <w:rFonts w:hint="eastAsia" w:eastAsia="仿宋"/>
                <w:color w:val="000000"/>
                <w:sz w:val="24"/>
                <w:lang w:eastAsia="zh-CN"/>
              </w:rPr>
            </w:pPr>
            <w:r>
              <w:rPr>
                <w:rFonts w:hint="eastAsia"/>
                <w:color w:val="000000"/>
                <w:sz w:val="24"/>
                <w:lang w:eastAsia="zh-CN"/>
              </w:rPr>
              <w:t>县卫生健康局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56" w:type="dxa"/>
            <w:vMerge w:val="continue"/>
            <w:tcBorders>
              <w:left w:val="single" w:color="auto" w:sz="4" w:space="0"/>
              <w:right w:val="single" w:color="auto" w:sz="4" w:space="0"/>
            </w:tcBorders>
            <w:noWrap w:val="0"/>
            <w:vAlign w:val="center"/>
          </w:tcPr>
          <w:p>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spacing w:line="292" w:lineRule="exact"/>
              <w:ind w:right="129"/>
              <w:jc w:val="center"/>
              <w:rPr>
                <w:color w:val="000000"/>
                <w:sz w:val="24"/>
              </w:rPr>
            </w:pPr>
            <w:r>
              <w:rPr>
                <w:color w:val="000000"/>
                <w:sz w:val="24"/>
              </w:rPr>
              <w:t>成员单位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line="292" w:lineRule="exact"/>
              <w:jc w:val="both"/>
              <w:rPr>
                <w:color w:val="000000"/>
                <w:sz w:val="24"/>
              </w:rPr>
            </w:pPr>
            <w:r>
              <w:rPr>
                <w:color w:val="000000"/>
                <w:sz w:val="24"/>
              </w:rPr>
              <w:t>具有相应能力或指定的医院，事故发生单位等。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2" w:hRule="atLeast"/>
        </w:trPr>
        <w:tc>
          <w:tcPr>
            <w:tcW w:w="1556" w:type="dxa"/>
            <w:vMerge w:val="continue"/>
            <w:tcBorders>
              <w:left w:val="single" w:color="auto" w:sz="4" w:space="0"/>
              <w:bottom w:val="single" w:color="auto" w:sz="4" w:space="0"/>
              <w:right w:val="single" w:color="auto" w:sz="4" w:space="0"/>
            </w:tcBorders>
            <w:noWrap w:val="0"/>
            <w:vAlign w:val="center"/>
          </w:tcPr>
          <w:p>
            <w:pPr>
              <w:pStyle w:val="12"/>
              <w:jc w:val="center"/>
              <w:rPr>
                <w:rFonts w:ascii="Times New Roman"/>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ind w:right="129"/>
              <w:jc w:val="center"/>
              <w:rPr>
                <w:color w:val="000000"/>
                <w:sz w:val="24"/>
              </w:rPr>
            </w:pPr>
            <w:r>
              <w:rPr>
                <w:color w:val="000000"/>
                <w:sz w:val="24"/>
              </w:rPr>
              <w:t>职责</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before="2"/>
              <w:jc w:val="both"/>
              <w:rPr>
                <w:color w:val="000000"/>
                <w:sz w:val="24"/>
              </w:rPr>
            </w:pPr>
            <w:r>
              <w:rPr>
                <w:color w:val="000000"/>
                <w:sz w:val="24"/>
              </w:rPr>
              <w:t>①统一对本</w:t>
            </w:r>
            <w:r>
              <w:rPr>
                <w:rFonts w:hint="eastAsia"/>
                <w:color w:val="000000"/>
                <w:sz w:val="24"/>
                <w:lang w:val="en-US" w:eastAsia="zh-CN"/>
              </w:rPr>
              <w:t>县</w:t>
            </w:r>
            <w:r>
              <w:rPr>
                <w:color w:val="000000"/>
                <w:sz w:val="24"/>
              </w:rPr>
              <w:t>医疗救护队伍、设备、器械的指挥调度；</w:t>
            </w:r>
          </w:p>
          <w:p>
            <w:pPr>
              <w:pStyle w:val="12"/>
              <w:spacing w:before="4" w:line="242" w:lineRule="auto"/>
              <w:ind w:right="98"/>
              <w:jc w:val="both"/>
              <w:rPr>
                <w:color w:val="000000"/>
                <w:sz w:val="24"/>
              </w:rPr>
            </w:pPr>
            <w:r>
              <w:rPr>
                <w:color w:val="000000"/>
                <w:spacing w:val="-9"/>
                <w:sz w:val="24"/>
              </w:rPr>
              <w:t>②在事故现场设立医疗救护站，对伤员进行分类和急救处</w:t>
            </w:r>
            <w:r>
              <w:rPr>
                <w:color w:val="000000"/>
                <w:sz w:val="24"/>
              </w:rPr>
              <w:t>理，并及时向医院转送；</w:t>
            </w:r>
          </w:p>
          <w:p>
            <w:pPr>
              <w:pStyle w:val="12"/>
              <w:spacing w:before="1" w:line="242" w:lineRule="auto"/>
              <w:ind w:right="103"/>
              <w:jc w:val="both"/>
              <w:rPr>
                <w:color w:val="000000"/>
                <w:sz w:val="24"/>
              </w:rPr>
            </w:pPr>
            <w:r>
              <w:rPr>
                <w:color w:val="000000"/>
                <w:sz w:val="24"/>
              </w:rPr>
              <w:t>③对救援人员进行医疗监护，为现场指挥员提供医疗咨询；</w:t>
            </w:r>
          </w:p>
          <w:p>
            <w:pPr>
              <w:pStyle w:val="12"/>
              <w:spacing w:before="2" w:line="289" w:lineRule="exact"/>
              <w:jc w:val="both"/>
              <w:rPr>
                <w:color w:val="000000"/>
                <w:sz w:val="24"/>
              </w:rPr>
            </w:pPr>
            <w:r>
              <w:rPr>
                <w:color w:val="000000"/>
                <w:sz w:val="24"/>
              </w:rPr>
              <w:t>④必要时向上级医疗应急中心提出救援申请。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56" w:type="dxa"/>
            <w:vMerge w:val="restart"/>
            <w:tcBorders>
              <w:top w:val="single" w:color="auto" w:sz="4" w:space="0"/>
              <w:left w:val="single" w:color="auto" w:sz="4" w:space="0"/>
              <w:bottom w:val="single" w:color="auto" w:sz="4" w:space="0"/>
              <w:right w:val="single" w:color="auto" w:sz="4" w:space="0"/>
            </w:tcBorders>
            <w:noWrap w:val="0"/>
            <w:vAlign w:val="center"/>
          </w:tcPr>
          <w:p>
            <w:pPr>
              <w:pStyle w:val="12"/>
              <w:jc w:val="center"/>
              <w:rPr>
                <w:color w:val="000000"/>
                <w:sz w:val="24"/>
              </w:rPr>
            </w:pPr>
            <w:r>
              <w:rPr>
                <w:color w:val="000000"/>
                <w:sz w:val="24"/>
              </w:rPr>
              <w:t>环境监测组</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spacing w:before="1" w:line="291" w:lineRule="exact"/>
              <w:ind w:right="129"/>
              <w:jc w:val="center"/>
              <w:rPr>
                <w:color w:val="000000"/>
                <w:sz w:val="24"/>
              </w:rPr>
            </w:pPr>
            <w:r>
              <w:rPr>
                <w:color w:val="000000"/>
                <w:sz w:val="24"/>
              </w:rPr>
              <w:t>牵头单位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before="1" w:line="291" w:lineRule="exact"/>
              <w:jc w:val="both"/>
              <w:rPr>
                <w:rFonts w:hint="eastAsia" w:eastAsia="仿宋"/>
                <w:color w:val="000000"/>
                <w:sz w:val="24"/>
                <w:lang w:eastAsia="zh-CN"/>
              </w:rPr>
            </w:pPr>
            <w:r>
              <w:rPr>
                <w:rFonts w:hint="eastAsia"/>
                <w:color w:val="000000"/>
                <w:sz w:val="24"/>
                <w:lang w:eastAsia="zh-CN"/>
              </w:rPr>
              <w:t>福州市永泰生态环境局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spacing w:before="1" w:line="289" w:lineRule="exact"/>
              <w:ind w:right="129"/>
              <w:jc w:val="center"/>
              <w:rPr>
                <w:color w:val="000000"/>
                <w:sz w:val="24"/>
              </w:rPr>
            </w:pPr>
            <w:r>
              <w:rPr>
                <w:color w:val="000000"/>
                <w:sz w:val="24"/>
              </w:rPr>
              <w:t>成员单位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before="1" w:line="289" w:lineRule="exact"/>
              <w:jc w:val="both"/>
              <w:rPr>
                <w:color w:val="000000"/>
                <w:sz w:val="24"/>
              </w:rPr>
            </w:pPr>
            <w:r>
              <w:rPr>
                <w:color w:val="000000"/>
                <w:sz w:val="24"/>
              </w:rPr>
              <w:t>事故发生单位。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0"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ind w:right="129"/>
              <w:jc w:val="center"/>
              <w:rPr>
                <w:color w:val="000000"/>
                <w:sz w:val="24"/>
              </w:rPr>
            </w:pPr>
            <w:r>
              <w:rPr>
                <w:color w:val="000000"/>
                <w:sz w:val="24"/>
              </w:rPr>
              <w:t>职责</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before="2"/>
              <w:ind w:right="-29"/>
              <w:jc w:val="both"/>
              <w:rPr>
                <w:color w:val="000000"/>
                <w:sz w:val="24"/>
              </w:rPr>
            </w:pPr>
            <w:r>
              <w:rPr>
                <w:color w:val="000000"/>
                <w:spacing w:val="-15"/>
                <w:sz w:val="24"/>
              </w:rPr>
              <w:t>①负责对事故现场大气、水体、土壤等环境进行即时监测；</w:t>
            </w:r>
          </w:p>
          <w:p>
            <w:pPr>
              <w:pStyle w:val="12"/>
              <w:spacing w:before="3" w:line="242" w:lineRule="auto"/>
              <w:ind w:right="2"/>
              <w:jc w:val="both"/>
              <w:rPr>
                <w:color w:val="000000"/>
                <w:sz w:val="24"/>
              </w:rPr>
            </w:pPr>
            <w:r>
              <w:rPr>
                <w:color w:val="000000"/>
                <w:sz w:val="24"/>
              </w:rPr>
              <w:t>②负责提供事故现场环境监测数据，确定污染区域范围， 提出控制措施，及时控制污染扩散，消除环境危害；</w:t>
            </w:r>
          </w:p>
          <w:p>
            <w:pPr>
              <w:pStyle w:val="12"/>
              <w:spacing w:before="2" w:line="242" w:lineRule="auto"/>
              <w:ind w:right="2"/>
              <w:jc w:val="both"/>
              <w:rPr>
                <w:color w:val="000000"/>
                <w:sz w:val="24"/>
              </w:rPr>
            </w:pPr>
            <w:r>
              <w:rPr>
                <w:color w:val="000000"/>
                <w:sz w:val="24"/>
              </w:rPr>
              <w:t>③负责事故现场环境危害监控评估的监测与监督等工作， 并对潜在危害持续监控；</w:t>
            </w:r>
          </w:p>
          <w:p>
            <w:pPr>
              <w:pStyle w:val="12"/>
              <w:spacing w:before="2" w:line="242" w:lineRule="auto"/>
              <w:ind w:right="98"/>
              <w:jc w:val="both"/>
              <w:rPr>
                <w:color w:val="000000"/>
                <w:sz w:val="24"/>
              </w:rPr>
            </w:pPr>
            <w:r>
              <w:rPr>
                <w:color w:val="000000"/>
                <w:spacing w:val="-6"/>
                <w:sz w:val="24"/>
              </w:rPr>
              <w:t>④指导灾后现场遗留危险物质的消除和治理，对可能存在</w:t>
            </w:r>
            <w:r>
              <w:rPr>
                <w:color w:val="000000"/>
                <w:spacing w:val="-7"/>
                <w:sz w:val="24"/>
              </w:rPr>
              <w:t>较长时间污染危险的区域应发出警告，并负责定期定点监</w:t>
            </w:r>
            <w:r>
              <w:rPr>
                <w:color w:val="000000"/>
                <w:sz w:val="24"/>
              </w:rPr>
              <w:t>测直至消除危害。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556" w:type="dxa"/>
            <w:vMerge w:val="restart"/>
            <w:tcBorders>
              <w:top w:val="single" w:color="auto" w:sz="4" w:space="0"/>
              <w:left w:val="single" w:color="auto" w:sz="4" w:space="0"/>
              <w:bottom w:val="single" w:color="auto" w:sz="4" w:space="0"/>
              <w:right w:val="single" w:color="auto" w:sz="4" w:space="0"/>
            </w:tcBorders>
            <w:noWrap w:val="0"/>
            <w:vAlign w:val="center"/>
          </w:tcPr>
          <w:p>
            <w:pPr>
              <w:pStyle w:val="12"/>
              <w:ind w:right="129"/>
              <w:jc w:val="center"/>
              <w:rPr>
                <w:rFonts w:ascii="仿宋" w:hAnsi="仿宋" w:eastAsia="仿宋" w:cs="仿宋"/>
                <w:color w:val="000000"/>
                <w:sz w:val="24"/>
                <w:szCs w:val="22"/>
                <w:lang w:val="zh-CN" w:eastAsia="zh-CN" w:bidi="zh-CN"/>
              </w:rPr>
            </w:pPr>
            <w:r>
              <w:rPr>
                <w:rFonts w:ascii="仿宋" w:hAnsi="仿宋" w:eastAsia="仿宋" w:cs="仿宋"/>
                <w:color w:val="000000"/>
                <w:sz w:val="24"/>
                <w:szCs w:val="22"/>
                <w:lang w:val="zh-CN" w:eastAsia="zh-CN" w:bidi="zh-CN"/>
              </w:rPr>
              <w:t>信息发布组</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ind w:right="129"/>
              <w:jc w:val="center"/>
              <w:rPr>
                <w:rFonts w:ascii="仿宋" w:hAnsi="仿宋" w:eastAsia="仿宋" w:cs="仿宋"/>
                <w:color w:val="000000"/>
                <w:sz w:val="24"/>
                <w:szCs w:val="22"/>
                <w:lang w:val="zh-CN" w:eastAsia="zh-CN" w:bidi="zh-CN"/>
              </w:rPr>
            </w:pPr>
            <w:r>
              <w:rPr>
                <w:rFonts w:ascii="仿宋" w:hAnsi="仿宋" w:eastAsia="仿宋" w:cs="仿宋"/>
                <w:color w:val="000000"/>
                <w:sz w:val="24"/>
                <w:szCs w:val="22"/>
                <w:lang w:val="zh-CN" w:eastAsia="zh-CN" w:bidi="zh-CN"/>
              </w:rPr>
              <w:t>牵头单位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before="1" w:line="289" w:lineRule="exact"/>
              <w:jc w:val="both"/>
              <w:rPr>
                <w:rFonts w:hint="default" w:eastAsia="仿宋"/>
                <w:color w:val="000000"/>
                <w:sz w:val="24"/>
                <w:lang w:val="en-US" w:eastAsia="zh-CN"/>
              </w:rPr>
            </w:pPr>
            <w:r>
              <w:rPr>
                <w:rFonts w:hint="eastAsia"/>
                <w:color w:val="000000"/>
                <w:sz w:val="24"/>
                <w:lang w:val="en-US" w:eastAsia="zh-CN"/>
              </w:rPr>
              <w:t>县委宣传部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000000"/>
                <w:sz w:val="24"/>
                <w:szCs w:val="22"/>
                <w:lang w:val="zh-CN" w:eastAsia="zh-CN" w:bidi="zh-CN"/>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spacing w:before="157"/>
              <w:ind w:right="129"/>
              <w:jc w:val="center"/>
              <w:rPr>
                <w:rFonts w:ascii="仿宋" w:hAnsi="仿宋" w:eastAsia="仿宋" w:cs="仿宋"/>
                <w:color w:val="000000"/>
                <w:sz w:val="24"/>
                <w:szCs w:val="22"/>
                <w:lang w:val="zh-CN" w:eastAsia="zh-CN" w:bidi="zh-CN"/>
              </w:rPr>
            </w:pPr>
            <w:r>
              <w:rPr>
                <w:rFonts w:ascii="仿宋" w:hAnsi="仿宋" w:eastAsia="仿宋" w:cs="仿宋"/>
                <w:color w:val="000000"/>
                <w:sz w:val="24"/>
                <w:szCs w:val="22"/>
                <w:lang w:val="zh-CN" w:eastAsia="zh-CN" w:bidi="zh-CN"/>
              </w:rPr>
              <w:t>成员单位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before="2"/>
              <w:jc w:val="both"/>
              <w:rPr>
                <w:color w:val="000000"/>
                <w:sz w:val="24"/>
              </w:rPr>
            </w:pPr>
            <w:r>
              <w:rPr>
                <w:rFonts w:hint="eastAsia"/>
                <w:color w:val="000000"/>
                <w:sz w:val="24"/>
                <w:lang w:eastAsia="zh-CN"/>
              </w:rPr>
              <w:t>县公安局</w:t>
            </w:r>
            <w:r>
              <w:rPr>
                <w:color w:val="000000"/>
                <w:sz w:val="24"/>
              </w:rPr>
              <w:t>、</w:t>
            </w:r>
            <w:r>
              <w:rPr>
                <w:rFonts w:hint="eastAsia"/>
                <w:color w:val="000000"/>
                <w:sz w:val="24"/>
                <w:lang w:eastAsia="zh-CN"/>
              </w:rPr>
              <w:t>县消防救援大队</w:t>
            </w:r>
            <w:r>
              <w:rPr>
                <w:color w:val="000000"/>
                <w:sz w:val="24"/>
              </w:rPr>
              <w:t>、</w:t>
            </w:r>
            <w:r>
              <w:rPr>
                <w:rFonts w:hint="eastAsia"/>
                <w:color w:val="000000"/>
                <w:sz w:val="24"/>
                <w:lang w:eastAsia="zh-CN"/>
              </w:rPr>
              <w:t>县应急管理局</w:t>
            </w:r>
            <w:r>
              <w:rPr>
                <w:color w:val="000000"/>
                <w:sz w:val="24"/>
              </w:rPr>
              <w:t>、</w:t>
            </w:r>
            <w:r>
              <w:rPr>
                <w:rFonts w:hint="eastAsia"/>
                <w:color w:val="000000"/>
                <w:sz w:val="24"/>
                <w:lang w:eastAsia="zh-CN"/>
              </w:rPr>
              <w:t>福州市永泰生态环境局</w:t>
            </w:r>
            <w:r>
              <w:rPr>
                <w:color w:val="000000"/>
                <w:sz w:val="24"/>
              </w:rPr>
              <w:t>、事发地</w:t>
            </w:r>
            <w:r>
              <w:rPr>
                <w:rFonts w:hint="eastAsia"/>
                <w:color w:val="000000"/>
                <w:sz w:val="24"/>
                <w:lang w:eastAsia="zh-CN"/>
              </w:rPr>
              <w:t>乡（镇）</w:t>
            </w:r>
            <w:r>
              <w:rPr>
                <w:color w:val="000000"/>
                <w:sz w:val="24"/>
              </w:rPr>
              <w:t>、事故发生单位等。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000000"/>
                <w:sz w:val="24"/>
                <w:szCs w:val="22"/>
                <w:lang w:val="zh-CN" w:eastAsia="zh-CN" w:bidi="zh-CN"/>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spacing w:before="193"/>
              <w:ind w:right="129"/>
              <w:jc w:val="center"/>
              <w:rPr>
                <w:rFonts w:ascii="仿宋" w:hAnsi="仿宋" w:eastAsia="仿宋" w:cs="仿宋"/>
                <w:color w:val="000000"/>
                <w:sz w:val="24"/>
                <w:szCs w:val="22"/>
                <w:lang w:val="zh-CN" w:eastAsia="zh-CN" w:bidi="zh-CN"/>
              </w:rPr>
            </w:pPr>
            <w:r>
              <w:rPr>
                <w:rFonts w:ascii="仿宋" w:hAnsi="仿宋" w:eastAsia="仿宋" w:cs="仿宋"/>
                <w:color w:val="000000"/>
                <w:sz w:val="24"/>
                <w:szCs w:val="22"/>
                <w:lang w:val="zh-CN" w:eastAsia="zh-CN" w:bidi="zh-CN"/>
              </w:rPr>
              <w:t>职责</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before="2" w:line="242" w:lineRule="auto"/>
              <w:ind w:right="98"/>
              <w:jc w:val="both"/>
              <w:rPr>
                <w:color w:val="000000"/>
                <w:sz w:val="24"/>
              </w:rPr>
            </w:pPr>
            <w:r>
              <w:rPr>
                <w:color w:val="000000"/>
                <w:spacing w:val="-8"/>
                <w:sz w:val="24"/>
              </w:rPr>
              <w:t>①负责组织发布事故处置救援信息，组织有关单位拟定新</w:t>
            </w:r>
            <w:r>
              <w:rPr>
                <w:color w:val="000000"/>
                <w:sz w:val="24"/>
              </w:rPr>
              <w:t>闻通稿，协调相关媒体开展报道；</w:t>
            </w:r>
          </w:p>
          <w:p>
            <w:pPr>
              <w:pStyle w:val="12"/>
              <w:spacing w:before="2"/>
              <w:jc w:val="both"/>
              <w:rPr>
                <w:color w:val="000000"/>
                <w:sz w:val="24"/>
              </w:rPr>
            </w:pPr>
            <w:r>
              <w:rPr>
                <w:color w:val="000000"/>
                <w:sz w:val="24"/>
              </w:rPr>
              <w:t>②密切关注相关舆情，积极回应社会关切，主动引导社会舆论。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56" w:type="dxa"/>
            <w:vMerge w:val="restart"/>
            <w:tcBorders>
              <w:top w:val="single" w:color="auto" w:sz="4" w:space="0"/>
              <w:left w:val="single" w:color="auto" w:sz="4" w:space="0"/>
              <w:bottom w:val="single" w:color="auto" w:sz="4" w:space="0"/>
              <w:right w:val="single" w:color="auto" w:sz="4" w:space="0"/>
            </w:tcBorders>
            <w:noWrap w:val="0"/>
            <w:vAlign w:val="center"/>
          </w:tcPr>
          <w:p>
            <w:pPr>
              <w:pStyle w:val="12"/>
              <w:jc w:val="center"/>
              <w:rPr>
                <w:color w:val="000000"/>
                <w:sz w:val="24"/>
              </w:rPr>
            </w:pPr>
            <w:r>
              <w:rPr>
                <w:color w:val="000000"/>
                <w:sz w:val="24"/>
              </w:rPr>
              <w:t>后勤保障组</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spacing w:before="2" w:line="289" w:lineRule="exact"/>
              <w:ind w:right="129"/>
              <w:jc w:val="center"/>
              <w:rPr>
                <w:color w:val="000000"/>
                <w:sz w:val="24"/>
              </w:rPr>
            </w:pPr>
            <w:r>
              <w:rPr>
                <w:color w:val="000000"/>
                <w:sz w:val="24"/>
              </w:rPr>
              <w:t>牵头单位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before="2" w:line="289" w:lineRule="exact"/>
              <w:jc w:val="both"/>
              <w:rPr>
                <w:rFonts w:hint="eastAsia" w:eastAsia="仿宋"/>
                <w:color w:val="000000"/>
                <w:sz w:val="24"/>
                <w:lang w:eastAsia="zh-CN"/>
              </w:rPr>
            </w:pPr>
            <w:r>
              <w:rPr>
                <w:color w:val="000000"/>
                <w:sz w:val="24"/>
              </w:rPr>
              <w:t>事发地</w:t>
            </w:r>
            <w:r>
              <w:rPr>
                <w:rFonts w:hint="eastAsia"/>
                <w:color w:val="000000"/>
                <w:sz w:val="24"/>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spacing w:before="157"/>
              <w:ind w:right="129"/>
              <w:jc w:val="center"/>
              <w:rPr>
                <w:color w:val="000000"/>
                <w:sz w:val="24"/>
              </w:rPr>
            </w:pPr>
            <w:r>
              <w:rPr>
                <w:color w:val="000000"/>
                <w:sz w:val="24"/>
              </w:rPr>
              <w:t>成员单位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before="1"/>
              <w:jc w:val="both"/>
              <w:rPr>
                <w:color w:val="000000"/>
                <w:sz w:val="24"/>
              </w:rPr>
            </w:pPr>
            <w:r>
              <w:rPr>
                <w:rFonts w:hint="eastAsia"/>
                <w:color w:val="000000"/>
                <w:sz w:val="24"/>
                <w:lang w:eastAsia="zh-CN"/>
              </w:rPr>
              <w:t>县应急管理局</w:t>
            </w:r>
            <w:r>
              <w:rPr>
                <w:color w:val="000000"/>
                <w:sz w:val="24"/>
              </w:rPr>
              <w:t>、交通运输局、</w:t>
            </w:r>
            <w:r>
              <w:rPr>
                <w:rFonts w:hint="eastAsia"/>
                <w:color w:val="000000"/>
                <w:sz w:val="24"/>
                <w:lang w:eastAsia="zh-CN"/>
              </w:rPr>
              <w:t>永泰县供电公司</w:t>
            </w:r>
            <w:r>
              <w:rPr>
                <w:color w:val="000000"/>
                <w:sz w:val="24"/>
              </w:rPr>
              <w:t>、事故发生单位等。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ind w:right="129"/>
              <w:jc w:val="center"/>
              <w:rPr>
                <w:color w:val="000000"/>
                <w:sz w:val="24"/>
              </w:rPr>
            </w:pPr>
            <w:r>
              <w:rPr>
                <w:color w:val="000000"/>
                <w:sz w:val="24"/>
              </w:rPr>
              <w:t>职责</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before="1" w:line="242" w:lineRule="auto"/>
              <w:ind w:right="98"/>
              <w:jc w:val="both"/>
              <w:rPr>
                <w:color w:val="000000"/>
                <w:sz w:val="24"/>
              </w:rPr>
            </w:pPr>
            <w:r>
              <w:rPr>
                <w:color w:val="000000"/>
                <w:spacing w:val="-7"/>
                <w:sz w:val="24"/>
              </w:rPr>
              <w:t>①统一对本</w:t>
            </w:r>
            <w:r>
              <w:rPr>
                <w:rFonts w:hint="eastAsia"/>
                <w:color w:val="000000"/>
                <w:spacing w:val="-7"/>
                <w:sz w:val="24"/>
                <w:lang w:val="en-US" w:eastAsia="zh-CN"/>
              </w:rPr>
              <w:t>县</w:t>
            </w:r>
            <w:r>
              <w:rPr>
                <w:color w:val="000000"/>
                <w:spacing w:val="-7"/>
                <w:sz w:val="24"/>
              </w:rPr>
              <w:t>应急救援物资供应单位、设备、器具的指挥</w:t>
            </w:r>
            <w:r>
              <w:rPr>
                <w:color w:val="000000"/>
                <w:sz w:val="24"/>
              </w:rPr>
              <w:t>调度，并做好重点物资的储备；</w:t>
            </w:r>
          </w:p>
          <w:p>
            <w:pPr>
              <w:pStyle w:val="12"/>
              <w:spacing w:before="1" w:line="242" w:lineRule="auto"/>
              <w:ind w:right="98"/>
              <w:jc w:val="both"/>
              <w:rPr>
                <w:color w:val="000000"/>
                <w:sz w:val="24"/>
              </w:rPr>
            </w:pPr>
            <w:r>
              <w:rPr>
                <w:color w:val="000000"/>
                <w:spacing w:val="-8"/>
                <w:sz w:val="24"/>
              </w:rPr>
              <w:t>②负责应急救援过程中的物资保障、应急救援物资的调拨</w:t>
            </w:r>
            <w:r>
              <w:rPr>
                <w:color w:val="000000"/>
                <w:sz w:val="24"/>
              </w:rPr>
              <w:t>和配送、交通工具的紧急调用；</w:t>
            </w:r>
          </w:p>
          <w:p>
            <w:pPr>
              <w:pStyle w:val="12"/>
              <w:spacing w:before="2"/>
              <w:jc w:val="both"/>
              <w:rPr>
                <w:color w:val="000000"/>
                <w:sz w:val="24"/>
              </w:rPr>
            </w:pPr>
            <w:r>
              <w:rPr>
                <w:color w:val="000000"/>
                <w:sz w:val="24"/>
              </w:rPr>
              <w:t>③运送救援人员、受灾人员、救援物资、设备设施等；</w:t>
            </w:r>
          </w:p>
          <w:p>
            <w:pPr>
              <w:pStyle w:val="12"/>
              <w:spacing w:before="3"/>
              <w:jc w:val="both"/>
              <w:rPr>
                <w:color w:val="000000"/>
                <w:sz w:val="24"/>
              </w:rPr>
            </w:pPr>
            <w:r>
              <w:rPr>
                <w:color w:val="000000"/>
                <w:sz w:val="24"/>
              </w:rPr>
              <w:t>④必要时向上级或有关单位提出支援请求，保障事故应急救援物资的供应。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56" w:type="dxa"/>
            <w:vMerge w:val="restart"/>
            <w:tcBorders>
              <w:top w:val="single" w:color="auto" w:sz="4" w:space="0"/>
              <w:left w:val="single" w:color="auto" w:sz="4" w:space="0"/>
              <w:bottom w:val="single" w:color="auto" w:sz="4" w:space="0"/>
              <w:right w:val="single" w:color="auto" w:sz="4" w:space="0"/>
            </w:tcBorders>
            <w:noWrap w:val="0"/>
            <w:vAlign w:val="center"/>
          </w:tcPr>
          <w:p>
            <w:pPr>
              <w:pStyle w:val="12"/>
              <w:spacing w:before="1"/>
              <w:jc w:val="center"/>
              <w:rPr>
                <w:color w:val="000000"/>
                <w:sz w:val="24"/>
              </w:rPr>
            </w:pPr>
            <w:r>
              <w:rPr>
                <w:color w:val="000000"/>
                <w:sz w:val="24"/>
              </w:rPr>
              <w:t>专家组</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spacing w:before="1" w:line="291" w:lineRule="exact"/>
              <w:ind w:right="129"/>
              <w:jc w:val="center"/>
              <w:rPr>
                <w:color w:val="000000"/>
                <w:sz w:val="24"/>
              </w:rPr>
            </w:pPr>
            <w:r>
              <w:rPr>
                <w:color w:val="000000"/>
                <w:sz w:val="24"/>
              </w:rPr>
              <w:t>牵头单位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before="1" w:line="291" w:lineRule="exact"/>
              <w:jc w:val="both"/>
              <w:rPr>
                <w:rFonts w:hint="eastAsia" w:eastAsia="仿宋"/>
                <w:color w:val="000000"/>
                <w:sz w:val="24"/>
                <w:lang w:eastAsia="zh-CN"/>
              </w:rPr>
            </w:pPr>
            <w:r>
              <w:rPr>
                <w:rFonts w:hint="eastAsia"/>
                <w:color w:val="000000"/>
                <w:sz w:val="24"/>
                <w:lang w:eastAsia="zh-CN"/>
              </w:rPr>
              <w:t>县应急管理局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spacing w:before="1" w:line="289" w:lineRule="exact"/>
              <w:ind w:right="129"/>
              <w:jc w:val="center"/>
              <w:rPr>
                <w:color w:val="000000"/>
                <w:sz w:val="24"/>
              </w:rPr>
            </w:pPr>
            <w:r>
              <w:rPr>
                <w:color w:val="000000"/>
                <w:sz w:val="24"/>
              </w:rPr>
              <w:t>成员单位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before="1" w:line="289" w:lineRule="exact"/>
              <w:jc w:val="both"/>
              <w:rPr>
                <w:color w:val="000000"/>
                <w:sz w:val="24"/>
              </w:rPr>
            </w:pPr>
            <w:r>
              <w:rPr>
                <w:color w:val="000000"/>
                <w:sz w:val="24"/>
              </w:rPr>
              <w:t>相关专业技术知识的专业人员。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2"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spacing w:before="193"/>
              <w:ind w:right="129"/>
              <w:jc w:val="center"/>
              <w:rPr>
                <w:color w:val="000000"/>
                <w:sz w:val="24"/>
              </w:rPr>
            </w:pPr>
            <w:r>
              <w:rPr>
                <w:color w:val="000000"/>
                <w:sz w:val="24"/>
              </w:rPr>
              <w:t>职责</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before="2" w:line="242" w:lineRule="auto"/>
              <w:ind w:right="2"/>
              <w:jc w:val="both"/>
              <w:rPr>
                <w:color w:val="000000"/>
                <w:sz w:val="24"/>
              </w:rPr>
            </w:pPr>
            <w:r>
              <w:rPr>
                <w:color w:val="000000"/>
                <w:spacing w:val="-10"/>
                <w:sz w:val="24"/>
              </w:rPr>
              <w:t>①评估事故发展态势，为现场应急响应做出科学合理的有</w:t>
            </w:r>
            <w:r>
              <w:rPr>
                <w:color w:val="000000"/>
                <w:spacing w:val="-11"/>
                <w:sz w:val="24"/>
              </w:rPr>
              <w:t>效支持，给指挥部进行事故救援工作提供科学决策依据；</w:t>
            </w:r>
          </w:p>
          <w:p>
            <w:pPr>
              <w:pStyle w:val="12"/>
              <w:spacing w:before="2"/>
              <w:jc w:val="both"/>
              <w:rPr>
                <w:color w:val="000000"/>
                <w:sz w:val="24"/>
              </w:rPr>
            </w:pPr>
            <w:r>
              <w:rPr>
                <w:color w:val="000000"/>
                <w:sz w:val="24"/>
              </w:rPr>
              <w:t>②为危险化学品事故应急救援工作提供技术处置方案；</w:t>
            </w:r>
          </w:p>
          <w:p>
            <w:pPr>
              <w:pStyle w:val="12"/>
              <w:spacing w:before="3" w:line="289" w:lineRule="exact"/>
              <w:jc w:val="both"/>
              <w:rPr>
                <w:color w:val="000000"/>
                <w:sz w:val="24"/>
              </w:rPr>
            </w:pPr>
            <w:r>
              <w:rPr>
                <w:color w:val="000000"/>
                <w:sz w:val="24"/>
              </w:rPr>
              <w:t>③对事故后续处置提供意见和建议。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56" w:type="dxa"/>
            <w:vMerge w:val="restart"/>
            <w:tcBorders>
              <w:top w:val="single" w:color="auto" w:sz="4" w:space="0"/>
              <w:left w:val="single" w:color="auto" w:sz="4" w:space="0"/>
              <w:right w:val="single" w:color="auto" w:sz="4" w:space="0"/>
            </w:tcBorders>
            <w:noWrap w:val="0"/>
            <w:vAlign w:val="center"/>
          </w:tcPr>
          <w:p>
            <w:pPr>
              <w:pStyle w:val="12"/>
              <w:spacing w:before="2" w:line="289" w:lineRule="exact"/>
              <w:ind w:left="157" w:right="149"/>
              <w:jc w:val="center"/>
              <w:rPr>
                <w:color w:val="000000"/>
                <w:sz w:val="24"/>
              </w:rPr>
            </w:pPr>
            <w:r>
              <w:rPr>
                <w:color w:val="000000"/>
                <w:sz w:val="24"/>
              </w:rPr>
              <w:t>善后处置组</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spacing w:before="2" w:line="289" w:lineRule="exact"/>
              <w:ind w:right="129"/>
              <w:jc w:val="center"/>
              <w:rPr>
                <w:color w:val="000000"/>
                <w:sz w:val="24"/>
              </w:rPr>
            </w:pPr>
            <w:r>
              <w:rPr>
                <w:color w:val="000000"/>
                <w:sz w:val="24"/>
              </w:rPr>
              <w:t>牵头单位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before="1" w:line="291" w:lineRule="exact"/>
              <w:ind w:right="0" w:rightChars="0"/>
              <w:jc w:val="both"/>
              <w:rPr>
                <w:color w:val="000000"/>
                <w:sz w:val="24"/>
              </w:rPr>
            </w:pPr>
            <w:r>
              <w:rPr>
                <w:rFonts w:hint="eastAsia"/>
                <w:color w:val="000000"/>
                <w:sz w:val="24"/>
                <w:lang w:val="en-US" w:eastAsia="zh-CN"/>
              </w:rPr>
              <w:t>县应急管理局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1556" w:type="dxa"/>
            <w:vMerge w:val="continue"/>
            <w:tcBorders>
              <w:left w:val="single" w:color="auto" w:sz="4" w:space="0"/>
              <w:right w:val="single" w:color="auto" w:sz="4" w:space="0"/>
            </w:tcBorders>
            <w:noWrap w:val="0"/>
            <w:vAlign w:val="center"/>
          </w:tcPr>
          <w:p>
            <w:pPr>
              <w:pStyle w:val="12"/>
              <w:jc w:val="center"/>
              <w:rPr>
                <w:rFonts w:ascii="Times New Roman"/>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spacing w:before="1"/>
              <w:ind w:right="129"/>
              <w:jc w:val="center"/>
              <w:rPr>
                <w:color w:val="000000"/>
                <w:sz w:val="24"/>
              </w:rPr>
            </w:pPr>
            <w:r>
              <w:rPr>
                <w:color w:val="000000"/>
                <w:sz w:val="24"/>
              </w:rPr>
              <w:t>成员单位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before="2"/>
              <w:ind w:right="0" w:rightChars="0"/>
              <w:jc w:val="both"/>
              <w:rPr>
                <w:color w:val="000000"/>
                <w:sz w:val="24"/>
              </w:rPr>
            </w:pPr>
            <w:r>
              <w:rPr>
                <w:rFonts w:hint="eastAsia"/>
                <w:color w:val="000000"/>
                <w:spacing w:val="-10"/>
                <w:sz w:val="24"/>
                <w:lang w:val="en-US" w:eastAsia="zh-CN"/>
              </w:rPr>
              <w:t>县</w:t>
            </w:r>
            <w:r>
              <w:rPr>
                <w:color w:val="000000"/>
                <w:spacing w:val="-10"/>
                <w:sz w:val="24"/>
              </w:rPr>
              <w:t>财政局、</w:t>
            </w:r>
            <w:r>
              <w:rPr>
                <w:rFonts w:hint="eastAsia"/>
                <w:color w:val="000000"/>
                <w:spacing w:val="-10"/>
                <w:sz w:val="24"/>
                <w:lang w:val="en-US" w:eastAsia="zh-CN"/>
              </w:rPr>
              <w:t>福州市永泰生态环境局</w:t>
            </w:r>
            <w:r>
              <w:rPr>
                <w:color w:val="000000"/>
                <w:spacing w:val="-10"/>
                <w:sz w:val="24"/>
              </w:rPr>
              <w:t>、县消防救援大队、</w:t>
            </w:r>
            <w:r>
              <w:rPr>
                <w:rFonts w:hint="eastAsia"/>
                <w:color w:val="000000"/>
                <w:spacing w:val="-10"/>
                <w:sz w:val="24"/>
                <w:lang w:val="en-US" w:eastAsia="zh-CN"/>
              </w:rPr>
              <w:t>县</w:t>
            </w:r>
            <w:r>
              <w:rPr>
                <w:color w:val="000000"/>
                <w:spacing w:val="-10"/>
                <w:sz w:val="24"/>
              </w:rPr>
              <w:t>供电</w:t>
            </w:r>
            <w:r>
              <w:rPr>
                <w:rFonts w:hint="eastAsia"/>
                <w:color w:val="000000"/>
                <w:spacing w:val="-10"/>
                <w:sz w:val="24"/>
                <w:lang w:val="en-US" w:eastAsia="zh-CN"/>
              </w:rPr>
              <w:t>公司</w:t>
            </w:r>
            <w:r>
              <w:rPr>
                <w:color w:val="000000"/>
                <w:spacing w:val="-10"/>
                <w:sz w:val="24"/>
              </w:rPr>
              <w:t>、</w:t>
            </w:r>
            <w:r>
              <w:rPr>
                <w:rFonts w:hint="eastAsia"/>
                <w:color w:val="000000"/>
                <w:spacing w:val="-10"/>
                <w:sz w:val="24"/>
                <w:lang w:val="en-US" w:eastAsia="zh-CN"/>
              </w:rPr>
              <w:t>县卫生健康局</w:t>
            </w:r>
            <w:r>
              <w:rPr>
                <w:color w:val="000000"/>
                <w:spacing w:val="-10"/>
                <w:sz w:val="24"/>
              </w:rPr>
              <w:t>、</w:t>
            </w:r>
            <w:r>
              <w:rPr>
                <w:rFonts w:hint="eastAsia"/>
                <w:color w:val="000000"/>
                <w:spacing w:val="-10"/>
                <w:sz w:val="24"/>
                <w:lang w:val="en-US" w:eastAsia="zh-CN"/>
              </w:rPr>
              <w:t>县民政</w:t>
            </w:r>
            <w:r>
              <w:rPr>
                <w:color w:val="000000"/>
                <w:spacing w:val="-10"/>
                <w:sz w:val="24"/>
              </w:rPr>
              <w:t>局、事发地</w:t>
            </w:r>
            <w:r>
              <w:rPr>
                <w:rFonts w:hint="eastAsia"/>
                <w:color w:val="000000"/>
                <w:spacing w:val="-10"/>
                <w:sz w:val="24"/>
                <w:lang w:eastAsia="zh-CN"/>
              </w:rPr>
              <w:t>乡（镇）</w:t>
            </w:r>
            <w:r>
              <w:rPr>
                <w:color w:val="000000"/>
                <w:spacing w:val="-10"/>
                <w:sz w:val="24"/>
              </w:rPr>
              <w:t>、事故发生单位等。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trPr>
        <w:tc>
          <w:tcPr>
            <w:tcW w:w="1556" w:type="dxa"/>
            <w:vMerge w:val="continue"/>
            <w:tcBorders>
              <w:left w:val="single" w:color="auto" w:sz="4" w:space="0"/>
              <w:bottom w:val="single" w:color="auto" w:sz="4" w:space="0"/>
              <w:right w:val="single" w:color="auto" w:sz="4" w:space="0"/>
            </w:tcBorders>
            <w:noWrap w:val="0"/>
            <w:vAlign w:val="center"/>
          </w:tcPr>
          <w:p>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spacing w:before="192"/>
              <w:ind w:right="129"/>
              <w:jc w:val="center"/>
              <w:rPr>
                <w:color w:val="000000"/>
                <w:sz w:val="24"/>
              </w:rPr>
            </w:pPr>
            <w:r>
              <w:rPr>
                <w:color w:val="000000"/>
                <w:sz w:val="24"/>
              </w:rPr>
              <w:t>职责</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before="1"/>
              <w:jc w:val="both"/>
              <w:rPr>
                <w:color w:val="000000"/>
                <w:sz w:val="24"/>
              </w:rPr>
            </w:pPr>
            <w:r>
              <w:rPr>
                <w:color w:val="000000"/>
                <w:sz w:val="24"/>
              </w:rPr>
              <w:t>①负责对伤亡人员家属的接待、安抚和慰问工作；</w:t>
            </w:r>
          </w:p>
          <w:p>
            <w:pPr>
              <w:pStyle w:val="12"/>
              <w:spacing w:before="4"/>
              <w:jc w:val="both"/>
              <w:rPr>
                <w:color w:val="000000"/>
                <w:sz w:val="24"/>
              </w:rPr>
            </w:pPr>
            <w:r>
              <w:rPr>
                <w:color w:val="000000"/>
                <w:sz w:val="24"/>
              </w:rPr>
              <w:t>②处理伤亡人员善后赔偿事宜；</w:t>
            </w:r>
          </w:p>
          <w:p>
            <w:pPr>
              <w:pStyle w:val="12"/>
              <w:spacing w:before="4"/>
              <w:jc w:val="both"/>
              <w:rPr>
                <w:color w:val="000000"/>
                <w:sz w:val="24"/>
              </w:rPr>
            </w:pPr>
            <w:r>
              <w:rPr>
                <w:color w:val="000000"/>
                <w:sz w:val="24"/>
              </w:rPr>
              <w:t>③做好群众的思想稳定工作；</w:t>
            </w:r>
          </w:p>
          <w:p>
            <w:pPr>
              <w:pStyle w:val="12"/>
              <w:spacing w:before="3" w:line="291" w:lineRule="exact"/>
              <w:jc w:val="both"/>
              <w:rPr>
                <w:color w:val="000000"/>
                <w:sz w:val="24"/>
              </w:rPr>
            </w:pPr>
            <w:r>
              <w:rPr>
                <w:color w:val="000000"/>
                <w:sz w:val="24"/>
              </w:rPr>
              <w:t>④维护社会安定，消除不稳定因素。</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22" w:name="_Toc308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2.3</w:t>
      </w:r>
      <w:r>
        <w:rPr>
          <w:rFonts w:hint="eastAsia" w:ascii="楷体_GB2312" w:hAnsi="楷体_GB2312" w:eastAsia="楷体_GB2312" w:cs="楷体_GB2312"/>
          <w:sz w:val="32"/>
          <w:szCs w:val="32"/>
          <w:lang w:val="en-US" w:eastAsia="zh-CN"/>
        </w:rPr>
        <w:t>县</w:t>
      </w:r>
      <w:r>
        <w:rPr>
          <w:rFonts w:hint="eastAsia" w:ascii="楷体_GB2312" w:hAnsi="楷体_GB2312" w:eastAsia="楷体_GB2312" w:cs="楷体_GB2312"/>
          <w:sz w:val="32"/>
          <w:szCs w:val="32"/>
        </w:rPr>
        <w:t>有关部门</w:t>
      </w:r>
      <w:bookmarkEnd w:id="2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cs="仿宋_GB2312"/>
          <w:sz w:val="32"/>
          <w:szCs w:val="32"/>
          <w:lang w:val="en-US" w:eastAsia="zh-CN"/>
        </w:rPr>
        <w:t>县</w:t>
      </w:r>
      <w:r>
        <w:rPr>
          <w:rFonts w:hint="eastAsia" w:ascii="仿宋_GB2312" w:hAnsi="仿宋_GB2312" w:eastAsia="仿宋_GB2312" w:cs="仿宋_GB2312"/>
          <w:sz w:val="32"/>
          <w:szCs w:val="32"/>
        </w:rPr>
        <w:t>有关部门在</w:t>
      </w:r>
      <w:r>
        <w:rPr>
          <w:rFonts w:hint="eastAsia" w:cs="仿宋_GB2312"/>
          <w:sz w:val="32"/>
          <w:szCs w:val="32"/>
          <w:lang w:val="en-US" w:eastAsia="zh-CN"/>
        </w:rPr>
        <w:t>县危险化学品事故应急指挥部</w:t>
      </w:r>
      <w:r>
        <w:rPr>
          <w:rFonts w:hint="eastAsia" w:ascii="仿宋_GB2312" w:hAnsi="仿宋_GB2312" w:eastAsia="仿宋_GB2312" w:cs="仿宋_GB2312"/>
          <w:sz w:val="32"/>
          <w:szCs w:val="32"/>
        </w:rPr>
        <w:t>的统一领导下参与危险化学品事故应急处置工作。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（1）县委宣传部：协助应急指挥部开展危险化学品事故新闻发布工作、协调新闻媒体跟进事故处置进展情况报道。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cs="仿宋_GB2312"/>
          <w:sz w:val="32"/>
          <w:szCs w:val="32"/>
          <w:lang w:val="en-US" w:eastAsia="zh-CN"/>
        </w:rPr>
        <w:t>2</w:t>
      </w:r>
      <w:r>
        <w:rPr>
          <w:rFonts w:hint="eastAsia" w:ascii="仿宋_GB2312" w:hAnsi="仿宋_GB2312" w:eastAsia="仿宋_GB2312" w:cs="仿宋_GB2312"/>
          <w:sz w:val="32"/>
          <w:szCs w:val="32"/>
        </w:rPr>
        <w:t>）县公安局：负责人员疏散和事故现场警戒。“110”报警系统承接危险化学品事故报告，在接到事故发生或可能发生的报告后，向县应急指挥部办公室报告相关事故情况，应急指挥部办公室迅速通知属地相关负责人员赶赴现场，并将有关事故信息及时通报给事故应急指挥部和相关责任单位；负责组织事故可能危及区域内的人员疏散撤离，对人员撤离区域进行治安管理；负责事故现场区域警戒管制工作，禁止无关人员和车辆进入危险区域，保障救援道路的畅通；参与事故调查处理，负责核对死伤人数、伤亡人员身份，做好现场取证、记录、录音、录像等工作；负责划定事故现场的警戒区域，禁止无关人员进入；及时控制涉案人员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cs="仿宋_GB2312"/>
          <w:sz w:val="32"/>
          <w:szCs w:val="32"/>
          <w:lang w:val="en-US" w:eastAsia="zh-CN"/>
        </w:rPr>
        <w:t>3</w:t>
      </w:r>
      <w:r>
        <w:rPr>
          <w:rFonts w:hint="eastAsia" w:ascii="仿宋_GB2312" w:hAnsi="仿宋_GB2312" w:eastAsia="仿宋_GB2312" w:cs="仿宋_GB2312"/>
          <w:sz w:val="32"/>
          <w:szCs w:val="32"/>
        </w:rPr>
        <w:t>）县红十字会：接受和管理社会各界捐赠，协助相关单位组织灾后重建工作。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cs="仿宋_GB2312"/>
          <w:sz w:val="32"/>
          <w:szCs w:val="32"/>
          <w:lang w:val="en-US" w:eastAsia="zh-CN"/>
        </w:rPr>
        <w:t>4</w:t>
      </w:r>
      <w:r>
        <w:rPr>
          <w:rFonts w:hint="eastAsia" w:ascii="仿宋_GB2312" w:hAnsi="仿宋_GB2312" w:eastAsia="仿宋_GB2312" w:cs="仿宋_GB2312"/>
          <w:sz w:val="32"/>
          <w:szCs w:val="32"/>
        </w:rPr>
        <w:t>）县财政局：负责应急救援资金的准备、调度和落实工作。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cs="仿宋_GB2312"/>
          <w:sz w:val="32"/>
          <w:szCs w:val="32"/>
          <w:lang w:val="en-US" w:eastAsia="zh-CN"/>
        </w:rPr>
        <w:t>5</w:t>
      </w:r>
      <w:r>
        <w:rPr>
          <w:rFonts w:hint="eastAsia" w:ascii="仿宋_GB2312" w:hAnsi="仿宋_GB2312" w:eastAsia="仿宋_GB2312" w:cs="仿宋_GB2312"/>
          <w:sz w:val="32"/>
          <w:szCs w:val="32"/>
        </w:rPr>
        <w:t>）县住房和城乡建设局：负责事故现场建筑物结构安全以及受损程度的测评工作，对存在结构性安全问题的建筑物进行监测，根据实际情况发布警报信号，为现场搜救工作提供建筑安全方面的建议。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cs="仿宋_GB2312"/>
          <w:sz w:val="32"/>
          <w:szCs w:val="32"/>
          <w:lang w:val="en-US" w:eastAsia="zh-CN"/>
        </w:rPr>
        <w:t>6</w:t>
      </w:r>
      <w:r>
        <w:rPr>
          <w:rFonts w:hint="eastAsia" w:ascii="仿宋_GB2312" w:hAnsi="仿宋_GB2312" w:eastAsia="仿宋_GB2312" w:cs="仿宋_GB2312"/>
          <w:sz w:val="32"/>
          <w:szCs w:val="32"/>
        </w:rPr>
        <w:t>）县卫生健康局：负责受伤人员的治疗与救护应急处置。确定受伤人员专业治疗与救护定点医院，负责事故现场调配医务人员、医疗器材、急救药品，组织现场救护及伤员转移，负责统计伤亡人员情况。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cs="仿宋_GB2312"/>
          <w:sz w:val="32"/>
          <w:szCs w:val="32"/>
          <w:lang w:val="en-US" w:eastAsia="zh-CN"/>
        </w:rPr>
        <w:t>7</w:t>
      </w:r>
      <w:r>
        <w:rPr>
          <w:rFonts w:hint="eastAsia" w:ascii="仿宋_GB2312" w:hAnsi="仿宋_GB2312" w:eastAsia="仿宋_GB2312" w:cs="仿宋_GB2312"/>
          <w:sz w:val="32"/>
          <w:szCs w:val="32"/>
        </w:rPr>
        <w:t>）福州市永泰生态环境局：负责处置因危险化学品事故而引起的环境污染和生态破坏。负责危险化学品事故引起的环境污染的应急监测，对可能存在较长时间环境影响的区域发出警告，提出控制措施并进行监测，事故得到控制后指导消除现场遗留的危险物质，参与危险化学品事故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cs="仿宋_GB2312"/>
          <w:sz w:val="32"/>
          <w:szCs w:val="32"/>
          <w:lang w:val="en-US" w:eastAsia="zh-CN"/>
        </w:rPr>
        <w:t>8</w:t>
      </w:r>
      <w:r>
        <w:rPr>
          <w:rFonts w:hint="eastAsia" w:ascii="仿宋_GB2312" w:hAnsi="仿宋_GB2312" w:eastAsia="仿宋_GB2312" w:cs="仿宋_GB2312"/>
          <w:sz w:val="32"/>
          <w:szCs w:val="32"/>
        </w:rPr>
        <w:t>）县应急管理局：负责危险化学品事故应急指挥部的日常管理工作；承担辖区危险化学品企业的日常安全监督管理；负责监督辖区危险化学品企业的安全隐患排查整治；在县政府授权下开展危险化学品事故调查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cs="仿宋_GB2312"/>
          <w:sz w:val="32"/>
          <w:szCs w:val="32"/>
          <w:lang w:val="en-US" w:eastAsia="zh-CN"/>
        </w:rPr>
        <w:t>9</w:t>
      </w:r>
      <w:r>
        <w:rPr>
          <w:rFonts w:hint="eastAsia" w:ascii="仿宋_GB2312" w:hAnsi="仿宋_GB2312" w:eastAsia="仿宋_GB2312" w:cs="仿宋_GB2312"/>
          <w:sz w:val="32"/>
          <w:szCs w:val="32"/>
        </w:rPr>
        <w:t>）县市场监督管理局：负责危险化学品压力容器、压力管道等特种设备事故的应急处置；负责督促企业制定用于危险化学品的压力容器、压力管道等特种设备事故应急预案。提出事故现场危险化学品压力容器、压力管道等特种设备的处置建议和技术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cs="仿宋_GB2312"/>
          <w:sz w:val="32"/>
          <w:szCs w:val="32"/>
          <w:lang w:val="en-US" w:eastAsia="zh-CN"/>
        </w:rPr>
        <w:t>10</w:t>
      </w:r>
      <w:r>
        <w:rPr>
          <w:rFonts w:hint="eastAsia" w:ascii="仿宋_GB2312" w:hAnsi="仿宋_GB2312" w:eastAsia="仿宋_GB2312" w:cs="仿宋_GB2312"/>
          <w:sz w:val="32"/>
          <w:szCs w:val="32"/>
        </w:rPr>
        <w:t>）县交通运输局：负责组织协调有关单位做好危险化学品事故应急救援交通运输保障工作；参加事故现场处置，做好受灾群众转移；指定抢险运输单位，负责监督抢险车辆的保养，驾驶人员的培训；负责组织事故现场危险物资的转移、抢险物资和抢险人员的运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cs="仿宋_GB2312"/>
          <w:sz w:val="32"/>
          <w:szCs w:val="32"/>
          <w:lang w:val="en-US" w:eastAsia="zh-CN"/>
        </w:rPr>
        <w:t>11</w:t>
      </w:r>
      <w:r>
        <w:rPr>
          <w:rFonts w:hint="eastAsia" w:ascii="仿宋_GB2312" w:hAnsi="仿宋_GB2312" w:eastAsia="仿宋_GB2312" w:cs="仿宋_GB2312"/>
          <w:sz w:val="32"/>
          <w:szCs w:val="32"/>
        </w:rPr>
        <w:t>）县</w:t>
      </w:r>
      <w:r>
        <w:rPr>
          <w:rFonts w:hint="eastAsia" w:cs="仿宋_GB2312"/>
          <w:sz w:val="32"/>
          <w:szCs w:val="32"/>
          <w:lang w:val="en-US" w:eastAsia="zh-CN"/>
        </w:rPr>
        <w:t>公安局</w:t>
      </w:r>
      <w:r>
        <w:rPr>
          <w:rFonts w:hint="eastAsia" w:ascii="仿宋_GB2312" w:hAnsi="仿宋_GB2312" w:eastAsia="仿宋_GB2312" w:cs="仿宋_GB2312"/>
          <w:sz w:val="32"/>
          <w:szCs w:val="32"/>
        </w:rPr>
        <w:t>交警大队：负责事故现场区域周边道路的交通管制，禁止无关车辆进入危险区域，为应急抢险做好绿色通道保障，确保救援道路的畅通。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cs="仿宋_GB2312"/>
          <w:sz w:val="32"/>
          <w:szCs w:val="32"/>
          <w:lang w:val="en-US" w:eastAsia="zh-CN"/>
        </w:rPr>
        <w:t>12</w:t>
      </w:r>
      <w:r>
        <w:rPr>
          <w:rFonts w:hint="eastAsia" w:ascii="仿宋_GB2312" w:hAnsi="仿宋_GB2312" w:eastAsia="仿宋_GB2312" w:cs="仿宋_GB2312"/>
          <w:sz w:val="32"/>
          <w:szCs w:val="32"/>
        </w:rPr>
        <w:t>）县消防救援大队：负责在紧急状态下的现场抢险作业。组织、协调辖区内消防队伍开展危险化学品事故应急救援工作；扑灭事故现场火灾，控制易燃、易爆、有毒物质泄漏和有关设备容器的冷却；负责事故现场遇险、失踪人员的搜救、搜寻；事故得到控制后负责事故现场洗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根据危险化学品事故应急处置的需要，其它有关部门、单位均应按照相应职责做好相关工作。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23" w:name="_Toc26492"/>
      <w:r>
        <w:rPr>
          <w:rFonts w:hint="eastAsia" w:ascii="楷体_GB2312" w:hAnsi="楷体_GB2312" w:eastAsia="楷体_GB2312" w:cs="楷体_GB2312"/>
          <w:sz w:val="32"/>
          <w:szCs w:val="32"/>
        </w:rPr>
        <w:t>2.4 乡（镇）政府</w:t>
      </w:r>
      <w:bookmarkEnd w:id="2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负责制定乡（镇）级危险化学品事故应急预案并组织演练；做好辖区内危险化学品事故的上报工作，及时启动辖区内相应的应急响应；负责组织、协调、实施本辖区危险化学品事故的应急救援先期处置</w:t>
      </w:r>
      <w:r>
        <w:rPr>
          <w:rFonts w:hint="eastAsia" w:cs="仿宋_GB2312"/>
          <w:sz w:val="32"/>
          <w:szCs w:val="32"/>
          <w:lang w:eastAsia="zh-CN"/>
        </w:rPr>
        <w:t>，</w:t>
      </w:r>
      <w:r>
        <w:rPr>
          <w:rFonts w:hint="eastAsia" w:cs="仿宋_GB2312"/>
          <w:sz w:val="32"/>
          <w:szCs w:val="32"/>
          <w:lang w:val="en-US" w:eastAsia="zh-CN"/>
        </w:rPr>
        <w:t>牵头做好后勤保障工作</w:t>
      </w:r>
      <w:r>
        <w:rPr>
          <w:rFonts w:hint="eastAsia" w:ascii="仿宋_GB2312" w:hAnsi="仿宋_GB2312" w:eastAsia="仿宋_GB2312" w:cs="仿宋_GB2312"/>
          <w:sz w:val="32"/>
          <w:szCs w:val="32"/>
        </w:rPr>
        <w:t>；负责组织本辖区危险化学品事故人员疏散、物资调用和协助事故调查等，维护事故现场社会秩序，妥善做好善后处理等工作。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24" w:name="_Toc23161"/>
      <w:r>
        <w:rPr>
          <w:rFonts w:hint="eastAsia" w:ascii="楷体_GB2312" w:hAnsi="楷体_GB2312" w:eastAsia="楷体_GB2312" w:cs="楷体_GB2312"/>
          <w:sz w:val="32"/>
          <w:szCs w:val="32"/>
        </w:rPr>
        <w:t>2.5 应急救援队伍</w:t>
      </w:r>
      <w:bookmarkEnd w:id="2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危险化学品事故应急救援队伍主要包括综合应急救援队伍、专业应急救援队伍、企业应急救援队伍、志愿者应急救援队伍等。必要时，</w:t>
      </w:r>
      <w:r>
        <w:rPr>
          <w:rFonts w:hint="eastAsia" w:cs="仿宋_GB2312"/>
          <w:sz w:val="32"/>
          <w:szCs w:val="32"/>
          <w:lang w:val="en-US" w:eastAsia="zh-CN"/>
        </w:rPr>
        <w:t>请示县政府请求驻樟部队、</w:t>
      </w:r>
      <w:r>
        <w:rPr>
          <w:rFonts w:hint="eastAsia" w:ascii="仿宋_GB2312" w:hAnsi="仿宋_GB2312" w:eastAsia="仿宋_GB2312" w:cs="仿宋_GB2312"/>
          <w:sz w:val="32"/>
          <w:szCs w:val="32"/>
        </w:rPr>
        <w:t>武警</w:t>
      </w:r>
      <w:r>
        <w:rPr>
          <w:rFonts w:hint="eastAsia" w:cs="仿宋_GB2312"/>
          <w:sz w:val="32"/>
          <w:szCs w:val="32"/>
          <w:lang w:eastAsia="zh-CN"/>
        </w:rPr>
        <w:t>、</w:t>
      </w:r>
      <w:r>
        <w:rPr>
          <w:rFonts w:hint="eastAsia" w:cs="仿宋_GB2312"/>
          <w:sz w:val="32"/>
          <w:szCs w:val="32"/>
          <w:lang w:val="en-US" w:eastAsia="zh-CN"/>
        </w:rPr>
        <w:t>民兵连等</w:t>
      </w:r>
      <w:r>
        <w:rPr>
          <w:rFonts w:hint="eastAsia" w:ascii="仿宋_GB2312" w:hAnsi="仿宋_GB2312" w:eastAsia="仿宋_GB2312" w:cs="仿宋_GB2312"/>
          <w:sz w:val="32"/>
          <w:szCs w:val="32"/>
        </w:rPr>
        <w:t>应急救援队伍</w:t>
      </w:r>
      <w:r>
        <w:rPr>
          <w:rFonts w:hint="eastAsia" w:cs="仿宋_GB2312"/>
          <w:sz w:val="32"/>
          <w:szCs w:val="32"/>
          <w:lang w:val="en-US" w:eastAsia="zh-CN"/>
        </w:rPr>
        <w:t>参与救援</w:t>
      </w:r>
      <w:r>
        <w:rPr>
          <w:rFonts w:hint="eastAsia" w:ascii="仿宋_GB2312" w:hAnsi="仿宋_GB2312" w:eastAsia="仿宋_GB2312" w:cs="仿宋_GB2312"/>
          <w:sz w:val="32"/>
          <w:szCs w:val="32"/>
        </w:rPr>
        <w:t>。各应急救援队伍接到调度指令后，应立即携带专业救援装备器材，赶赴事故现场，在指挥部统一指挥下，发挥专长、相互协作进行现场处置。</w:t>
      </w: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（1）综合应急救援队伍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负责危险化学品应急处置、火灾扑救、人员搜救和事故现场清理，控制危险源，防止事故扩大及次生灾害发生，承担危险化学品事故综合应急救援任务。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（2）专业应急救援队伍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化学品专业应急救援队伍负责危险化学品事故现场检测、危险化学品泄漏控制、有毒有害物质处置、城镇燃气救援、酸碱化学品处置、危险化学品转输吊装等，与其他应急救援队伍协同，参与处置危险化学品事故应急救援工作，并提供专业技术支持；参与应急演练，不断提高队伍的实战能力；加强应急救援装备、器材和物资的储备和管理，保持其性能和状态良好。其他专业应急救援队伍按照各自的职责开展环境污染、交通、卫生、燃气、建筑工程、通信保障、电力、给排水等专业救援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（3）企业应急救援队伍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负责本单位危险化学品事故的先期处置和应急救援工作，配合综合应急救援队伍、专业应急救援队伍开展抢险救援；按照编制的危险化学品事故应急预案，定期组织演练。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（4）志愿者应急救援队伍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参与防灾避险、疏散安置、急救技能等应急知识的宣传、教育和普及工作，参与危险化学品事故的信息报告、抢险救援、卫生防疫、群众安置、设施抢修和心理疏导等工作。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各应急救援队伍接到调度指令后，应立即启动应急响应行动，携带专业救援装备器材，尽快赶赴事故现场。应急救援队伍应在现场指挥机构统一指挥下，发挥专长</w:t>
      </w:r>
      <w:r>
        <w:rPr>
          <w:rFonts w:hint="eastAsia" w:cs="仿宋_GB2312"/>
          <w:sz w:val="32"/>
          <w:szCs w:val="32"/>
          <w:lang w:eastAsia="zh-CN"/>
        </w:rPr>
        <w:t>、</w:t>
      </w:r>
      <w:r>
        <w:rPr>
          <w:rFonts w:hint="eastAsia" w:ascii="仿宋_GB2312" w:hAnsi="仿宋_GB2312" w:eastAsia="仿宋_GB2312" w:cs="仿宋_GB2312"/>
          <w:sz w:val="32"/>
          <w:szCs w:val="32"/>
        </w:rPr>
        <w:t>相互协作、科学施救。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25" w:name="_Toc18581"/>
      <w:r>
        <w:rPr>
          <w:rFonts w:hint="eastAsia" w:ascii="楷体_GB2312" w:hAnsi="楷体_GB2312" w:eastAsia="楷体_GB2312" w:cs="楷体_GB2312"/>
          <w:sz w:val="32"/>
          <w:szCs w:val="32"/>
        </w:rPr>
        <w:t>2.6 工作组</w:t>
      </w:r>
      <w:bookmarkEnd w:id="2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工作组是根据事故应急处置工作需要，按照</w:t>
      </w:r>
      <w:r>
        <w:rPr>
          <w:rFonts w:hint="eastAsia" w:cs="仿宋_GB2312"/>
          <w:sz w:val="32"/>
          <w:szCs w:val="32"/>
          <w:lang w:val="en-US" w:eastAsia="zh-CN"/>
        </w:rPr>
        <w:t>县危险化学品事故应急指挥部</w:t>
      </w:r>
      <w:r>
        <w:rPr>
          <w:rFonts w:hint="eastAsia" w:ascii="仿宋_GB2312" w:hAnsi="仿宋_GB2312" w:eastAsia="仿宋_GB2312" w:cs="仿宋_GB2312"/>
          <w:sz w:val="32"/>
          <w:szCs w:val="32"/>
        </w:rPr>
        <w:t>的要求，成立并派往事发现场的临时工作机构, 指导协助</w:t>
      </w:r>
      <w:r>
        <w:rPr>
          <w:rFonts w:hint="eastAsia" w:cs="仿宋_GB2312"/>
          <w:sz w:val="32"/>
          <w:szCs w:val="32"/>
          <w:lang w:val="en-US" w:eastAsia="zh-CN"/>
        </w:rPr>
        <w:t>现场应急</w:t>
      </w:r>
      <w:r>
        <w:rPr>
          <w:rFonts w:hint="eastAsia" w:ascii="仿宋_GB2312" w:hAnsi="仿宋_GB2312" w:eastAsia="仿宋_GB2312" w:cs="仿宋_GB2312"/>
          <w:sz w:val="32"/>
          <w:szCs w:val="32"/>
        </w:rPr>
        <w:t>指挥部做好事故应急处置工作。工作组成员由</w:t>
      </w:r>
      <w:r>
        <w:rPr>
          <w:rFonts w:hint="eastAsia" w:cs="仿宋_GB2312"/>
          <w:sz w:val="32"/>
          <w:szCs w:val="32"/>
          <w:lang w:val="en-US" w:eastAsia="zh-CN"/>
        </w:rPr>
        <w:t>县危险化学品事故应急指挥部</w:t>
      </w:r>
      <w:r>
        <w:rPr>
          <w:rFonts w:hint="eastAsia" w:ascii="仿宋_GB2312" w:hAnsi="仿宋_GB2312" w:eastAsia="仿宋_GB2312" w:cs="仿宋_GB2312"/>
          <w:sz w:val="32"/>
          <w:szCs w:val="32"/>
        </w:rPr>
        <w:t>根据工作需要确定，工作组的职责是：事故发生后，及时了解掌握事故基本情况和初步原因；督促</w:t>
      </w:r>
      <w:r>
        <w:rPr>
          <w:rFonts w:hint="eastAsia" w:cs="仿宋_GB2312"/>
          <w:sz w:val="32"/>
          <w:szCs w:val="32"/>
          <w:lang w:val="en-US" w:eastAsia="zh-CN"/>
        </w:rPr>
        <w:t>乡（镇）</w:t>
      </w:r>
      <w:r>
        <w:rPr>
          <w:rFonts w:hint="eastAsia" w:ascii="仿宋_GB2312" w:hAnsi="仿宋_GB2312" w:eastAsia="仿宋_GB2312" w:cs="仿宋_GB2312"/>
          <w:sz w:val="32"/>
          <w:szCs w:val="32"/>
        </w:rPr>
        <w:t>政府和相关部门及事故发生单位核查核实并如实上报事故遇险、遇难、受伤人员情况；根据前期处置情况对救援方案提出建议，协调调动外部应急资源，指导事故应对处置工作，但不替代</w:t>
      </w:r>
      <w:r>
        <w:rPr>
          <w:rFonts w:hint="eastAsia" w:cs="仿宋_GB2312"/>
          <w:sz w:val="32"/>
          <w:szCs w:val="32"/>
          <w:lang w:val="en-US" w:eastAsia="zh-CN"/>
        </w:rPr>
        <w:t>现场应急</w:t>
      </w:r>
      <w:r>
        <w:rPr>
          <w:rFonts w:hint="eastAsia" w:ascii="仿宋_GB2312" w:hAnsi="仿宋_GB2312" w:eastAsia="仿宋_GB2312" w:cs="仿宋_GB2312"/>
          <w:sz w:val="32"/>
          <w:szCs w:val="32"/>
        </w:rPr>
        <w:t>指挥部的指挥职责；指导当地做好舆论和善后处理工作；起草事故情况报告，并及时向</w:t>
      </w:r>
      <w:r>
        <w:rPr>
          <w:rFonts w:hint="eastAsia" w:cs="仿宋_GB2312"/>
          <w:sz w:val="32"/>
          <w:szCs w:val="32"/>
          <w:lang w:val="en-US" w:eastAsia="zh-CN"/>
        </w:rPr>
        <w:t>县危险化学品事故应急指挥部</w:t>
      </w:r>
      <w:r>
        <w:rPr>
          <w:rFonts w:hint="eastAsia" w:ascii="仿宋_GB2312" w:hAnsi="仿宋_GB2312" w:eastAsia="仿宋_GB2312" w:cs="仿宋_GB2312"/>
          <w:sz w:val="32"/>
          <w:szCs w:val="32"/>
        </w:rPr>
        <w:t>报告有关工作情况。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26" w:name="_Toc25651"/>
      <w:r>
        <w:rPr>
          <w:rFonts w:hint="eastAsia" w:ascii="楷体_GB2312" w:hAnsi="楷体_GB2312" w:eastAsia="楷体_GB2312" w:cs="楷体_GB2312"/>
          <w:sz w:val="32"/>
          <w:szCs w:val="32"/>
        </w:rPr>
        <w:t>2.7 应急救援专家组</w:t>
      </w:r>
      <w:bookmarkEnd w:id="2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应急救援专家组从</w:t>
      </w:r>
      <w:r>
        <w:rPr>
          <w:rFonts w:hint="eastAsia" w:cs="仿宋_GB2312"/>
          <w:sz w:val="32"/>
          <w:szCs w:val="32"/>
          <w:lang w:val="en-US" w:eastAsia="zh-CN"/>
        </w:rPr>
        <w:t>福州</w:t>
      </w:r>
      <w:r>
        <w:rPr>
          <w:rFonts w:hint="eastAsia" w:ascii="仿宋_GB2312" w:hAnsi="仿宋_GB2312" w:eastAsia="仿宋_GB2312" w:cs="仿宋_GB2312"/>
          <w:sz w:val="32"/>
          <w:szCs w:val="32"/>
        </w:rPr>
        <w:t>市专家库中抽调相关技术专家组成。专家接到指令后应尽快赶赴指定地点或通过网络、电话等手段，为应急救援工作提供专业咨询和技术支持，为事故处置提供决策建议。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27" w:name="_Toc28151"/>
      <w:r>
        <w:rPr>
          <w:rFonts w:hint="eastAsia" w:ascii="楷体_GB2312" w:hAnsi="楷体_GB2312" w:eastAsia="楷体_GB2312" w:cs="楷体_GB2312"/>
          <w:sz w:val="32"/>
          <w:szCs w:val="32"/>
        </w:rPr>
        <w:t>2.8 事故发生单位</w:t>
      </w:r>
      <w:bookmarkEnd w:id="2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做好危险化学品事故的先期处置工作，如实向指挥部报告事故情况，提供事故现场的有关资料，提供救援设备和工具，接受落实</w:t>
      </w:r>
      <w:r>
        <w:rPr>
          <w:rFonts w:hint="eastAsia" w:cs="仿宋_GB2312"/>
          <w:sz w:val="32"/>
          <w:szCs w:val="32"/>
          <w:lang w:val="en-US" w:eastAsia="zh-CN"/>
        </w:rPr>
        <w:t>现场应急</w:t>
      </w:r>
      <w:r>
        <w:rPr>
          <w:rFonts w:hint="eastAsia" w:ascii="仿宋_GB2312" w:hAnsi="仿宋_GB2312" w:eastAsia="仿宋_GB2312" w:cs="仿宋_GB2312"/>
          <w:sz w:val="32"/>
          <w:szCs w:val="32"/>
        </w:rPr>
        <w:t>指挥部交办的工作，为应急处置工作提供技术支持，组织生产人员执行应急处置工作，不得故意破坏事故现场、毁灭证据。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方正黑体简体" w:hAnsi="方正黑体简体" w:eastAsia="方正黑体简体" w:cs="方正黑体简体"/>
          <w:sz w:val="32"/>
          <w:szCs w:val="32"/>
        </w:rPr>
      </w:pPr>
      <w:bookmarkStart w:id="28" w:name="_Toc20355"/>
      <w:r>
        <w:rPr>
          <w:rFonts w:hint="eastAsia" w:ascii="方正黑体简体" w:hAnsi="方正黑体简体" w:eastAsia="方正黑体简体" w:cs="方正黑体简体"/>
          <w:sz w:val="32"/>
          <w:szCs w:val="32"/>
        </w:rPr>
        <w:t>3主要危险源分析</w:t>
      </w:r>
      <w:bookmarkEnd w:id="2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bookmarkStart w:id="29" w:name="_Toc12360"/>
      <w:r>
        <w:rPr>
          <w:rFonts w:hint="eastAsia" w:ascii="仿宋_GB2312" w:hAnsi="仿宋_GB2312" w:eastAsia="仿宋_GB2312" w:cs="仿宋_GB2312"/>
          <w:sz w:val="32"/>
          <w:szCs w:val="32"/>
        </w:rPr>
        <w:t>3.1 行业概况</w:t>
      </w:r>
      <w:bookmarkEnd w:id="2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截至2023年7月，我县各类危化品生产经营单位29家，按照企业类型划分，经营单位29家。经营单位包括加油站 28 家，带储存经营企业 28家（加油站），纯贸易类企业（票据经营企业）1家。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bookmarkStart w:id="30" w:name="_Toc14318"/>
      <w:r>
        <w:rPr>
          <w:rFonts w:hint="eastAsia" w:ascii="仿宋_GB2312" w:hAnsi="仿宋_GB2312" w:eastAsia="仿宋_GB2312" w:cs="仿宋_GB2312"/>
          <w:sz w:val="32"/>
          <w:szCs w:val="32"/>
        </w:rPr>
        <w:t>3.2 危险化学品企业分布情况</w:t>
      </w:r>
      <w:bookmarkEnd w:id="3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我县主要危险化学品经营单位为加油站，各乡（镇）均有分布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31" w:name="_Toc13453"/>
      <w:r>
        <w:rPr>
          <w:rFonts w:hint="eastAsia" w:ascii="楷体_GB2312" w:hAnsi="楷体_GB2312" w:eastAsia="楷体_GB2312" w:cs="楷体_GB2312"/>
          <w:sz w:val="32"/>
          <w:szCs w:val="32"/>
        </w:rPr>
        <w:t>3.3 主要事故风险点</w:t>
      </w:r>
      <w:bookmarkEnd w:id="3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加油站</w:t>
      </w:r>
      <w:r>
        <w:rPr>
          <w:rFonts w:hint="eastAsia" w:ascii="仿宋_GB2312" w:hAnsi="仿宋_GB2312" w:eastAsia="仿宋_GB2312" w:cs="仿宋_GB2312"/>
          <w:sz w:val="32"/>
          <w:szCs w:val="32"/>
        </w:rPr>
        <w:t>易引发严重后果的事故主要是：危险化学品的火灾、爆炸事故，以及化学品泄漏事故。是我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危险化学品事故防范的重点对象。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方正黑体简体" w:hAnsi="方正黑体简体" w:eastAsia="方正黑体简体" w:cs="方正黑体简体"/>
          <w:sz w:val="32"/>
          <w:szCs w:val="32"/>
        </w:rPr>
      </w:pPr>
      <w:bookmarkStart w:id="32" w:name="_Toc4018"/>
      <w:r>
        <w:rPr>
          <w:rFonts w:hint="eastAsia" w:ascii="方正黑体简体" w:hAnsi="方正黑体简体" w:eastAsia="方正黑体简体" w:cs="方正黑体简体"/>
          <w:sz w:val="32"/>
          <w:szCs w:val="32"/>
        </w:rPr>
        <w:t>4 预警与信息报告</w:t>
      </w:r>
      <w:bookmarkEnd w:id="3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33" w:name="_Toc10282"/>
      <w:r>
        <w:rPr>
          <w:rFonts w:hint="eastAsia" w:ascii="楷体_GB2312" w:hAnsi="楷体_GB2312" w:eastAsia="楷体_GB2312" w:cs="楷体_GB2312"/>
          <w:sz w:val="32"/>
          <w:szCs w:val="32"/>
        </w:rPr>
        <w:t>4.1 预警</w:t>
      </w:r>
      <w:bookmarkEnd w:id="3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4.1.1 预警信息内容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预警信息内容主要包括：信息发布单位、发布时间、发生或可能发生事故的类别、起始时间、可能影响范围、预警级别、警示事项、事态发展、应采取的措施、咨询电话、发布范围等。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4.1.2预警发布方式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信息通过手机短信、传真、电视、广播电台、互联网等渠道，向有关单位和社会公众发布，也可通过警报器、宣传车或组织人员逐户通知等方式进行。对老、幼、病、残、孕等特殊人群以及学校等特殊场所和警报盲区应当采取有针对性的公告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4.1.3预警及响应分级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危险化学品生产安全事故的可控性、严重程度和影响范围，将其划分为特别重大事故、重大事故、较大事故和一般事故四级。对应上述事故等级，预警及响应级别按照事故发生的紧急程度、发展态势和可能造成的危害程度，从高到低划分为I级、II级、III级和IV级四个预警及响应等级，并依次用红色、橙色、黄色和蓝色表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4.1.4预警发布流程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（1）I级预警由省领导小组提出预警建议，经省政府审核后签发，并及时报告应急管理部。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（2）II级预警由省领导小组办公室提出预警建议，经省领导小组审核后签发。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（3）III级预警由市领导小组办公室提出预警建议，经市领导小组审核后签发。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cs="仿宋_GB2312"/>
          <w:sz w:val="32"/>
          <w:szCs w:val="32"/>
          <w:lang w:val="en-US" w:eastAsia="zh-CN"/>
        </w:rPr>
        <w:t>4</w:t>
      </w:r>
      <w:r>
        <w:rPr>
          <w:rFonts w:hint="eastAsia" w:ascii="仿宋_GB2312" w:hAnsi="仿宋_GB2312" w:eastAsia="仿宋_GB2312" w:cs="仿宋_GB2312"/>
          <w:sz w:val="32"/>
          <w:szCs w:val="32"/>
        </w:rPr>
        <w:t>）Ⅳ级预警由</w:t>
      </w:r>
      <w:r>
        <w:rPr>
          <w:rFonts w:hint="eastAsia" w:cs="仿宋_GB2312"/>
          <w:sz w:val="32"/>
          <w:szCs w:val="32"/>
          <w:lang w:val="en-US" w:eastAsia="zh-CN"/>
        </w:rPr>
        <w:t>县危险化学品事故应急指挥部</w:t>
      </w:r>
      <w:r>
        <w:rPr>
          <w:rFonts w:hint="eastAsia" w:ascii="仿宋_GB2312" w:hAnsi="仿宋_GB2312" w:eastAsia="仿宋_GB2312" w:cs="仿宋_GB2312"/>
          <w:sz w:val="32"/>
          <w:szCs w:val="32"/>
        </w:rPr>
        <w:t>办公室提出预警建议，经</w:t>
      </w:r>
      <w:r>
        <w:rPr>
          <w:rFonts w:hint="eastAsia" w:cs="仿宋_GB2312"/>
          <w:sz w:val="32"/>
          <w:szCs w:val="32"/>
          <w:lang w:val="en-US" w:eastAsia="zh-CN"/>
        </w:rPr>
        <w:t>县危险化学品事故应急救援指挥部</w:t>
      </w:r>
      <w:r>
        <w:rPr>
          <w:rFonts w:hint="eastAsia" w:ascii="仿宋_GB2312" w:hAnsi="仿宋_GB2312" w:eastAsia="仿宋_GB2312" w:cs="仿宋_GB2312"/>
          <w:sz w:val="32"/>
          <w:szCs w:val="32"/>
        </w:rPr>
        <w:t>审核后签发，并报告</w:t>
      </w:r>
      <w:r>
        <w:rPr>
          <w:rFonts w:hint="eastAsia" w:cs="仿宋_GB2312"/>
          <w:sz w:val="32"/>
          <w:szCs w:val="32"/>
          <w:lang w:val="en-US" w:eastAsia="zh-CN"/>
        </w:rPr>
        <w:t>市</w:t>
      </w:r>
      <w:r>
        <w:rPr>
          <w:rFonts w:hint="eastAsia" w:ascii="仿宋_GB2312" w:hAnsi="仿宋_GB2312" w:eastAsia="仿宋_GB2312" w:cs="仿宋_GB2312"/>
          <w:sz w:val="32"/>
          <w:szCs w:val="32"/>
        </w:rPr>
        <w:t>领导小组办公室。</w:t>
      </w:r>
      <w:r>
        <w:rPr>
          <w:rFonts w:hint="eastAsia" w:cs="仿宋_GB2312"/>
          <w:sz w:val="32"/>
          <w:szCs w:val="32"/>
          <w:lang w:val="en-US" w:eastAsia="zh-CN"/>
        </w:rPr>
        <w:t>同时</w:t>
      </w:r>
      <w:r>
        <w:rPr>
          <w:rFonts w:hint="eastAsia" w:ascii="仿宋_GB2312" w:hAnsi="仿宋_GB2312" w:eastAsia="仿宋_GB2312" w:cs="仿宋_GB2312"/>
          <w:sz w:val="32"/>
          <w:szCs w:val="32"/>
        </w:rPr>
        <w:t>，</w:t>
      </w:r>
      <w:r>
        <w:rPr>
          <w:rFonts w:hint="eastAsia" w:cs="仿宋_GB2312"/>
          <w:sz w:val="32"/>
          <w:szCs w:val="32"/>
          <w:lang w:val="en-US" w:eastAsia="zh-CN"/>
        </w:rPr>
        <w:t>乡（镇）</w:t>
      </w:r>
      <w:r>
        <w:rPr>
          <w:rFonts w:hint="eastAsia" w:ascii="仿宋_GB2312" w:hAnsi="仿宋_GB2312" w:eastAsia="仿宋_GB2312" w:cs="仿宋_GB2312"/>
          <w:sz w:val="32"/>
          <w:szCs w:val="32"/>
        </w:rPr>
        <w:t>启动Ⅳ级响应时，应进入Ⅳ级预警状态。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预警信息要依据事态或情况的变化，及时进行调整。当事故得到妥善处理、危险性降低或消除时，应适时降低预警级别或宣布解除预警。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34" w:name="_Toc19000"/>
      <w:r>
        <w:rPr>
          <w:rFonts w:hint="eastAsia" w:ascii="楷体_GB2312" w:hAnsi="楷体_GB2312" w:eastAsia="楷体_GB2312" w:cs="楷体_GB2312"/>
          <w:sz w:val="32"/>
          <w:szCs w:val="32"/>
        </w:rPr>
        <w:t>4.2 信息报告</w:t>
      </w:r>
      <w:bookmarkEnd w:id="3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4.2.1 信息报告要求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事故发生后，现场人员立即根据警情拨打“119”“120”“110”报警，同时报告单位负责人。单位负责人接到报告后，应当立即报告当地政府和有关监管部门。央企、地方国企在上报当地政府的同时上报其控股（集团）公司或其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（2）对于已经明确发生一般事故以上的突发事件以及因运输车辆发生的有毒有害气体泄漏、爆炸、中毒、火灾等事故，死伤人数一时不明、灾情一时无法核实的突发事件时，</w:t>
      </w:r>
      <w:r>
        <w:rPr>
          <w:rFonts w:hint="eastAsia" w:cs="仿宋_GB2312"/>
          <w:sz w:val="32"/>
          <w:szCs w:val="32"/>
          <w:lang w:val="en-US" w:eastAsia="zh-CN"/>
        </w:rPr>
        <w:t>县</w:t>
      </w:r>
      <w:r>
        <w:rPr>
          <w:rFonts w:hint="eastAsia" w:ascii="仿宋_GB2312" w:hAnsi="仿宋_GB2312" w:eastAsia="仿宋_GB2312" w:cs="仿宋_GB2312"/>
          <w:sz w:val="32"/>
          <w:szCs w:val="32"/>
        </w:rPr>
        <w:t>有关监管部门接到信息报告后采用速报方式在15分钟内上报</w:t>
      </w:r>
      <w:r>
        <w:rPr>
          <w:rFonts w:hint="eastAsia" w:cs="仿宋_GB2312"/>
          <w:sz w:val="32"/>
          <w:szCs w:val="32"/>
          <w:lang w:val="en-US" w:eastAsia="zh-CN"/>
        </w:rPr>
        <w:t>县</w:t>
      </w:r>
      <w:r>
        <w:rPr>
          <w:rFonts w:hint="eastAsia" w:ascii="仿宋_GB2312" w:hAnsi="仿宋_GB2312" w:eastAsia="仿宋_GB2312" w:cs="仿宋_GB2312"/>
          <w:sz w:val="32"/>
          <w:szCs w:val="32"/>
        </w:rPr>
        <w:t>政府，同时抄送</w:t>
      </w:r>
      <w:r>
        <w:rPr>
          <w:rFonts w:hint="eastAsia" w:cs="仿宋_GB2312"/>
          <w:sz w:val="32"/>
          <w:szCs w:val="32"/>
          <w:lang w:val="en-US" w:eastAsia="zh-CN"/>
        </w:rPr>
        <w:t>县危险化学品事故应急救援指挥部办公室</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（3）县危险化学品</w:t>
      </w:r>
      <w:r>
        <w:rPr>
          <w:rFonts w:hint="eastAsia" w:cs="仿宋_GB2312"/>
          <w:sz w:val="32"/>
          <w:szCs w:val="32"/>
          <w:lang w:val="en-US" w:eastAsia="zh-CN"/>
        </w:rPr>
        <w:t>事故</w:t>
      </w:r>
      <w:r>
        <w:rPr>
          <w:rFonts w:hint="eastAsia" w:ascii="仿宋_GB2312" w:hAnsi="仿宋_GB2312" w:eastAsia="仿宋_GB2312" w:cs="仿宋_GB2312"/>
          <w:sz w:val="32"/>
          <w:szCs w:val="32"/>
        </w:rPr>
        <w:t>应急救援指挥部办公室（或</w:t>
      </w:r>
      <w:r>
        <w:rPr>
          <w:rFonts w:hint="eastAsia" w:cs="仿宋_GB2312"/>
          <w:sz w:val="32"/>
          <w:szCs w:val="32"/>
          <w:lang w:val="en-US" w:eastAsia="zh-CN"/>
        </w:rPr>
        <w:t>县</w:t>
      </w:r>
      <w:r>
        <w:rPr>
          <w:rFonts w:hint="eastAsia" w:ascii="仿宋_GB2312" w:hAnsi="仿宋_GB2312" w:eastAsia="仿宋_GB2312" w:cs="仿宋_GB2312"/>
          <w:sz w:val="32"/>
          <w:szCs w:val="32"/>
        </w:rPr>
        <w:t>有关监管部门）接到报告（或报警）后，立即向本级政府和上级部门报告，并向本级政府有关部门通报。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（4）事故紧急的可采取先电话快报，后书面报告（通报、通知）；根据事态的发展和处理情况，随时续报；逐级上报信息，每一级上报时间不得超过2小时。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4.2.2 信息报告内容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（1）事故发生单位的名称、地址、性质等基本情况；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（2）事故发生的时间、地点以及事故现场情况（包括但不限于事故类型、涉及化学品名称、状态、数量、事故范围、周围环境等）；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（3）事故的简要经过；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（4）事故已经造成或者可能造成的伤亡人数（包括下落不明、涉险的人数）和初步估计的直接经济损失；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（5）已经采取的措施（包括现场已经采用的救援措施、已经赶赴和正在赶赴现场的领导和应急力量等）；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（6）报告人的单位、姓名和联系电话；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（7）其他应当报告的情况。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方正黑体简体" w:hAnsi="方正黑体简体" w:eastAsia="方正黑体简体" w:cs="方正黑体简体"/>
          <w:sz w:val="32"/>
          <w:szCs w:val="32"/>
        </w:rPr>
      </w:pPr>
      <w:bookmarkStart w:id="35" w:name="_Toc9756"/>
      <w:r>
        <w:rPr>
          <w:rFonts w:hint="eastAsia" w:ascii="方正黑体简体" w:hAnsi="方正黑体简体" w:eastAsia="方正黑体简体" w:cs="方正黑体简体"/>
          <w:sz w:val="32"/>
          <w:szCs w:val="32"/>
        </w:rPr>
        <w:t>5 应急处置程序</w:t>
      </w:r>
      <w:bookmarkEnd w:id="3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36" w:name="_Toc32503"/>
      <w:r>
        <w:rPr>
          <w:rFonts w:hint="eastAsia" w:ascii="楷体_GB2312" w:hAnsi="楷体_GB2312" w:eastAsia="楷体_GB2312" w:cs="楷体_GB2312"/>
          <w:sz w:val="32"/>
          <w:szCs w:val="32"/>
        </w:rPr>
        <w:t>5.1 响应主体</w:t>
      </w:r>
      <w:bookmarkEnd w:id="3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5.1.1 企业响应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发生事故或险情时，应立即启动企业应急预案，采取应急处置措施，抢救遇险人员，控制危险源，封锁危险场所，及时向所在地政府及其应急部门和有关部门报告救援工作进展情况。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央企、地方国企应为下属企业的事故处置提供必要的技术支持。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5.1.2 事发地政府响应</w:t>
      </w:r>
    </w:p>
    <w:p>
      <w:pPr>
        <w:pStyle w:val="3"/>
        <w:ind w:firstLine="640" w:firstLineChars="200"/>
        <w:rPr>
          <w:rFonts w:hint="eastAsia"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发生危险化学品</w:t>
      </w:r>
      <w:r>
        <w:rPr>
          <w:rFonts w:hint="eastAsia" w:cs="仿宋_GB2312"/>
          <w:color w:val="auto"/>
          <w:kern w:val="2"/>
          <w:sz w:val="32"/>
          <w:szCs w:val="32"/>
          <w:lang w:val="en-US" w:eastAsia="zh-CN" w:bidi="ar-SA"/>
        </w:rPr>
        <w:t>一般</w:t>
      </w:r>
      <w:r>
        <w:rPr>
          <w:rFonts w:hint="eastAsia" w:ascii="仿宋_GB2312" w:hAnsi="仿宋_GB2312" w:eastAsia="仿宋_GB2312" w:cs="仿宋_GB2312"/>
          <w:color w:val="auto"/>
          <w:kern w:val="2"/>
          <w:sz w:val="32"/>
          <w:szCs w:val="32"/>
          <w:lang w:val="en-US" w:eastAsia="zh-CN" w:bidi="ar-SA"/>
        </w:rPr>
        <w:t>事故后，</w:t>
      </w:r>
      <w:r>
        <w:rPr>
          <w:rFonts w:hint="eastAsia" w:cs="仿宋_GB2312"/>
          <w:color w:val="auto"/>
          <w:kern w:val="2"/>
          <w:sz w:val="32"/>
          <w:szCs w:val="32"/>
          <w:lang w:val="en-US" w:eastAsia="zh-CN" w:bidi="ar-SA"/>
        </w:rPr>
        <w:t>事发地乡（镇）政府应根据情况，启动乡（镇）级应急预案，尽快成立现场应急指挥部，组织、指挥各有关部门按照一般处置方案和不同事故类型处置要点进行先期处置，并及时将救援工作进展情况按照有关规定上报。</w:t>
      </w:r>
    </w:p>
    <w:p>
      <w:pPr>
        <w:pStyle w:val="3"/>
        <w:ind w:firstLine="640" w:firstLineChars="200"/>
        <w:rPr>
          <w:rFonts w:hint="default" w:cs="仿宋_GB2312"/>
          <w:color w:val="auto"/>
          <w:kern w:val="2"/>
          <w:sz w:val="32"/>
          <w:szCs w:val="32"/>
          <w:lang w:val="en-US" w:eastAsia="zh-CN" w:bidi="ar-SA"/>
        </w:rPr>
      </w:pPr>
      <w:r>
        <w:rPr>
          <w:rFonts w:hint="eastAsia" w:cs="仿宋_GB2312"/>
          <w:color w:val="auto"/>
          <w:kern w:val="2"/>
          <w:sz w:val="32"/>
          <w:szCs w:val="32"/>
          <w:lang w:val="en-US" w:eastAsia="zh-CN" w:bidi="ar-SA"/>
        </w:rPr>
        <w:t>县政府成立现场应急指挥部时，乡（镇）政府指挥部向其移交指挥权，并继续配合做好应急处置工作。</w:t>
      </w:r>
    </w:p>
    <w:p>
      <w:pPr>
        <w:pStyle w:val="3"/>
        <w:ind w:firstLine="640" w:firstLineChars="200"/>
        <w:rPr>
          <w:rFonts w:hint="default" w:cs="仿宋_GB2312"/>
          <w:color w:val="auto"/>
          <w:kern w:val="2"/>
          <w:sz w:val="32"/>
          <w:szCs w:val="32"/>
          <w:lang w:val="en-US" w:eastAsia="zh-CN" w:bidi="ar-SA"/>
        </w:rPr>
      </w:pPr>
      <w:r>
        <w:rPr>
          <w:rFonts w:hint="eastAsia" w:cs="仿宋_GB2312"/>
          <w:color w:val="auto"/>
          <w:kern w:val="2"/>
          <w:sz w:val="32"/>
          <w:szCs w:val="32"/>
          <w:lang w:val="en-US" w:eastAsia="zh-CN" w:bidi="ar-SA"/>
        </w:rPr>
        <w:t>发生较大及以上危险化学品事故时，县政府成立现场应急指挥部，按照上级应急预案要求，做好先期应急处置工作。在市政府成立现场应急指挥部时，向其移交指挥权，并继续配合做好应急处置工作。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5.1.3 </w:t>
      </w:r>
      <w:r>
        <w:rPr>
          <w:rFonts w:hint="eastAsia" w:cs="仿宋_GB2312"/>
          <w:sz w:val="32"/>
          <w:szCs w:val="32"/>
          <w:lang w:val="en-US" w:eastAsia="zh-CN"/>
        </w:rPr>
        <w:t>县</w:t>
      </w:r>
      <w:r>
        <w:rPr>
          <w:rFonts w:hint="eastAsia" w:ascii="仿宋_GB2312" w:hAnsi="仿宋_GB2312" w:eastAsia="仿宋_GB2312" w:cs="仿宋_GB2312"/>
          <w:sz w:val="32"/>
          <w:szCs w:val="32"/>
        </w:rPr>
        <w:t>有关部门响应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cs="仿宋_GB2312"/>
          <w:sz w:val="32"/>
          <w:szCs w:val="32"/>
          <w:lang w:val="en-US" w:eastAsia="zh-CN"/>
        </w:rPr>
        <w:t>县</w:t>
      </w:r>
      <w:r>
        <w:rPr>
          <w:rFonts w:hint="eastAsia" w:ascii="仿宋_GB2312" w:hAnsi="仿宋_GB2312" w:eastAsia="仿宋_GB2312" w:cs="仿宋_GB2312"/>
          <w:sz w:val="32"/>
          <w:szCs w:val="32"/>
        </w:rPr>
        <w:t>有关监管部门接到事故报告后，应立即启动本部门应急预案，协调、指导事故或险情发生地</w:t>
      </w:r>
      <w:r>
        <w:rPr>
          <w:rFonts w:hint="eastAsia" w:cs="仿宋_GB2312"/>
          <w:sz w:val="32"/>
          <w:szCs w:val="32"/>
          <w:lang w:val="en-US" w:eastAsia="zh-CN"/>
        </w:rPr>
        <w:t>乡（镇）</w:t>
      </w:r>
      <w:r>
        <w:rPr>
          <w:rFonts w:hint="eastAsia" w:ascii="仿宋_GB2312" w:hAnsi="仿宋_GB2312" w:eastAsia="仿宋_GB2312" w:cs="仿宋_GB2312"/>
          <w:sz w:val="32"/>
          <w:szCs w:val="32"/>
        </w:rPr>
        <w:t>政府做好相应应急救援工作，协调</w:t>
      </w:r>
      <w:r>
        <w:rPr>
          <w:rFonts w:hint="eastAsia" w:cs="仿宋_GB2312"/>
          <w:sz w:val="32"/>
          <w:szCs w:val="32"/>
          <w:lang w:val="en-US" w:eastAsia="zh-CN"/>
        </w:rPr>
        <w:t>县</w:t>
      </w:r>
      <w:r>
        <w:rPr>
          <w:rFonts w:hint="eastAsia" w:ascii="仿宋_GB2312" w:hAnsi="仿宋_GB2312" w:eastAsia="仿宋_GB2312" w:cs="仿宋_GB2312"/>
          <w:sz w:val="32"/>
          <w:szCs w:val="32"/>
        </w:rPr>
        <w:t>级力量</w:t>
      </w:r>
      <w:r>
        <w:rPr>
          <w:rFonts w:hint="eastAsia" w:cs="仿宋_GB2312"/>
          <w:sz w:val="32"/>
          <w:szCs w:val="32"/>
          <w:lang w:eastAsia="zh-CN"/>
        </w:rPr>
        <w:t>和其他</w:t>
      </w:r>
      <w:r>
        <w:rPr>
          <w:rFonts w:hint="eastAsia" w:cs="仿宋_GB2312"/>
          <w:sz w:val="32"/>
          <w:szCs w:val="32"/>
          <w:lang w:val="en-US" w:eastAsia="zh-CN"/>
        </w:rPr>
        <w:t>乡（镇）</w:t>
      </w:r>
      <w:r>
        <w:rPr>
          <w:rFonts w:hint="eastAsia" w:ascii="仿宋_GB2312" w:hAnsi="仿宋_GB2312" w:eastAsia="仿宋_GB2312" w:cs="仿宋_GB2312"/>
          <w:sz w:val="32"/>
          <w:szCs w:val="32"/>
        </w:rPr>
        <w:t>力量增援，及时向</w:t>
      </w:r>
      <w:r>
        <w:rPr>
          <w:rFonts w:hint="eastAsia" w:cs="仿宋_GB2312"/>
          <w:sz w:val="32"/>
          <w:szCs w:val="32"/>
          <w:lang w:val="en-US" w:eastAsia="zh-CN"/>
        </w:rPr>
        <w:t>县级现场应急</w:t>
      </w:r>
      <w:r>
        <w:rPr>
          <w:rFonts w:hint="eastAsia" w:ascii="仿宋_GB2312" w:hAnsi="仿宋_GB2312" w:eastAsia="仿宋_GB2312" w:cs="仿宋_GB2312"/>
          <w:sz w:val="32"/>
          <w:szCs w:val="32"/>
        </w:rPr>
        <w:t>指挥部汇报情况，落实</w:t>
      </w:r>
      <w:r>
        <w:rPr>
          <w:rFonts w:hint="eastAsia" w:cs="仿宋_GB2312"/>
          <w:sz w:val="32"/>
          <w:szCs w:val="32"/>
          <w:lang w:val="en-US" w:eastAsia="zh-CN"/>
        </w:rPr>
        <w:t>现场应急</w:t>
      </w:r>
      <w:r>
        <w:rPr>
          <w:rFonts w:hint="eastAsia" w:ascii="仿宋_GB2312" w:hAnsi="仿宋_GB2312" w:eastAsia="仿宋_GB2312" w:cs="仿宋_GB2312"/>
          <w:sz w:val="32"/>
          <w:szCs w:val="32"/>
        </w:rPr>
        <w:t>指挥部的决策部署。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37" w:name="_Toc22203"/>
      <w:r>
        <w:rPr>
          <w:rFonts w:hint="eastAsia" w:ascii="楷体_GB2312" w:hAnsi="楷体_GB2312" w:eastAsia="楷体_GB2312" w:cs="楷体_GB2312"/>
          <w:sz w:val="32"/>
          <w:szCs w:val="32"/>
        </w:rPr>
        <w:t>5.2 响应程序</w:t>
      </w:r>
      <w:bookmarkEnd w:id="3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cs="仿宋_GB2312"/>
          <w:sz w:val="32"/>
          <w:szCs w:val="32"/>
          <w:lang w:val="en-US" w:eastAsia="zh-CN"/>
        </w:rPr>
        <w:t>县危险化学品事故应急救援指挥部</w:t>
      </w:r>
      <w:r>
        <w:rPr>
          <w:rFonts w:hint="eastAsia" w:ascii="仿宋_GB2312" w:hAnsi="仿宋_GB2312" w:eastAsia="仿宋_GB2312" w:cs="仿宋_GB2312"/>
          <w:sz w:val="32"/>
          <w:szCs w:val="32"/>
        </w:rPr>
        <w:t>办公室和有关部门对事故信息会商分析，确认达到</w:t>
      </w:r>
      <w:r>
        <w:rPr>
          <w:rFonts w:hint="eastAsia" w:cs="仿宋_GB2312"/>
          <w:sz w:val="32"/>
          <w:szCs w:val="32"/>
          <w:lang w:val="en-US" w:eastAsia="zh-CN"/>
        </w:rPr>
        <w:t>IV</w:t>
      </w:r>
      <w:r>
        <w:rPr>
          <w:rFonts w:hint="eastAsia" w:ascii="仿宋_GB2312" w:hAnsi="仿宋_GB2312" w:eastAsia="仿宋_GB2312" w:cs="仿宋_GB2312"/>
          <w:sz w:val="32"/>
          <w:szCs w:val="32"/>
        </w:rPr>
        <w:t>级应急响应条件时，立即向</w:t>
      </w:r>
      <w:r>
        <w:rPr>
          <w:rFonts w:hint="eastAsia" w:cs="仿宋_GB2312"/>
          <w:sz w:val="32"/>
          <w:szCs w:val="32"/>
          <w:lang w:val="en-US" w:eastAsia="zh-CN"/>
        </w:rPr>
        <w:t>县危险化学品事故应急救援指挥部</w:t>
      </w:r>
      <w:r>
        <w:rPr>
          <w:rFonts w:hint="eastAsia" w:ascii="仿宋_GB2312" w:hAnsi="仿宋_GB2312" w:eastAsia="仿宋_GB2312" w:cs="仿宋_GB2312"/>
          <w:sz w:val="32"/>
          <w:szCs w:val="32"/>
        </w:rPr>
        <w:t>申请启动本预案及</w:t>
      </w:r>
      <w:r>
        <w:rPr>
          <w:rFonts w:hint="eastAsia" w:cs="仿宋_GB2312"/>
          <w:sz w:val="32"/>
          <w:szCs w:val="32"/>
          <w:lang w:val="en-US" w:eastAsia="zh-CN"/>
        </w:rPr>
        <w:t>县</w:t>
      </w:r>
      <w:r>
        <w:rPr>
          <w:rFonts w:hint="eastAsia" w:ascii="仿宋_GB2312" w:hAnsi="仿宋_GB2312" w:eastAsia="仿宋_GB2312" w:cs="仿宋_GB2312"/>
          <w:sz w:val="32"/>
          <w:szCs w:val="32"/>
        </w:rPr>
        <w:t>有关部门预案，成立指挥部，并将相关情况上报</w:t>
      </w:r>
      <w:r>
        <w:rPr>
          <w:rFonts w:hint="eastAsia" w:cs="仿宋_GB2312"/>
          <w:sz w:val="32"/>
          <w:szCs w:val="32"/>
          <w:lang w:val="en-US" w:eastAsia="zh-CN"/>
        </w:rPr>
        <w:t>县</w:t>
      </w:r>
      <w:r>
        <w:rPr>
          <w:rFonts w:hint="eastAsia" w:ascii="仿宋_GB2312" w:hAnsi="仿宋_GB2312" w:eastAsia="仿宋_GB2312" w:cs="仿宋_GB2312"/>
          <w:sz w:val="32"/>
          <w:szCs w:val="32"/>
        </w:rPr>
        <w:t>政府并通报有关部门。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cs="仿宋_GB2312"/>
          <w:sz w:val="32"/>
          <w:szCs w:val="32"/>
          <w:lang w:val="en-US" w:eastAsia="zh-CN"/>
        </w:rPr>
        <w:t>成立现场应急</w:t>
      </w:r>
      <w:r>
        <w:rPr>
          <w:rFonts w:hint="eastAsia" w:ascii="仿宋_GB2312" w:hAnsi="仿宋_GB2312" w:eastAsia="仿宋_GB2312" w:cs="仿宋_GB2312"/>
          <w:sz w:val="32"/>
          <w:szCs w:val="32"/>
        </w:rPr>
        <w:t>指挥部</w:t>
      </w:r>
      <w:r>
        <w:rPr>
          <w:rFonts w:hint="eastAsia" w:cs="仿宋_GB2312"/>
          <w:sz w:val="32"/>
          <w:szCs w:val="32"/>
          <w:lang w:eastAsia="zh-CN"/>
        </w:rPr>
        <w:t>，</w:t>
      </w:r>
      <w:r>
        <w:rPr>
          <w:rFonts w:hint="eastAsia" w:ascii="仿宋_GB2312" w:hAnsi="仿宋_GB2312" w:eastAsia="仿宋_GB2312" w:cs="仿宋_GB2312"/>
          <w:sz w:val="32"/>
          <w:szCs w:val="32"/>
        </w:rPr>
        <w:t>总指挥、副总指挥及各成员到位，赶赴现场，与</w:t>
      </w:r>
      <w:r>
        <w:rPr>
          <w:rFonts w:hint="eastAsia" w:cs="仿宋_GB2312"/>
          <w:sz w:val="32"/>
          <w:szCs w:val="32"/>
          <w:lang w:val="en-US" w:eastAsia="zh-CN"/>
        </w:rPr>
        <w:t>乡（镇）</w:t>
      </w:r>
      <w:r>
        <w:rPr>
          <w:rFonts w:hint="eastAsia" w:ascii="仿宋_GB2312" w:hAnsi="仿宋_GB2312" w:eastAsia="仿宋_GB2312" w:cs="仿宋_GB2312"/>
          <w:sz w:val="32"/>
          <w:szCs w:val="32"/>
        </w:rPr>
        <w:t>级</w:t>
      </w:r>
      <w:r>
        <w:rPr>
          <w:rFonts w:hint="eastAsia" w:cs="仿宋_GB2312"/>
          <w:sz w:val="32"/>
          <w:szCs w:val="32"/>
          <w:lang w:val="en-US" w:eastAsia="zh-CN"/>
        </w:rPr>
        <w:t>现场应急</w:t>
      </w:r>
      <w:r>
        <w:rPr>
          <w:rFonts w:hint="eastAsia" w:ascii="仿宋_GB2312" w:hAnsi="仿宋_GB2312" w:eastAsia="仿宋_GB2312" w:cs="仿宋_GB2312"/>
          <w:sz w:val="32"/>
          <w:szCs w:val="32"/>
        </w:rPr>
        <w:t>指挥部做好交接，组织、协调、指挥现场处置工作。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（3）通知有关部门做好供水、供电、交通、通信、气象、物资、资金和环境保护等保障工作。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（4）根据事故现场实际情况，组织有关专家论证，制订并实施现场处置的具体方案。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（5）调动有关专业救援队伍、专家参加现场救援工作，调动有关装备、物资支援现场处置和救援工作。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（6）密切关注事态发展，当出现事故难以控制或有扩大发展等事态时，及时向</w:t>
      </w:r>
      <w:r>
        <w:rPr>
          <w:rFonts w:hint="eastAsia" w:cs="仿宋_GB2312"/>
          <w:sz w:val="32"/>
          <w:szCs w:val="32"/>
          <w:lang w:val="en-US" w:eastAsia="zh-CN"/>
        </w:rPr>
        <w:t>县</w:t>
      </w:r>
      <w:r>
        <w:rPr>
          <w:rFonts w:hint="eastAsia" w:ascii="仿宋_GB2312" w:hAnsi="仿宋_GB2312" w:eastAsia="仿宋_GB2312" w:cs="仿宋_GB2312"/>
          <w:sz w:val="32"/>
          <w:szCs w:val="32"/>
        </w:rPr>
        <w:t>政府、</w:t>
      </w:r>
      <w:r>
        <w:rPr>
          <w:rFonts w:hint="eastAsia" w:cs="仿宋_GB2312"/>
          <w:sz w:val="32"/>
          <w:szCs w:val="32"/>
          <w:lang w:val="en-US" w:eastAsia="zh-CN"/>
        </w:rPr>
        <w:t>市</w:t>
      </w:r>
      <w:r>
        <w:rPr>
          <w:rFonts w:hint="eastAsia" w:ascii="仿宋_GB2312" w:hAnsi="仿宋_GB2312" w:eastAsia="仿宋_GB2312" w:cs="仿宋_GB2312"/>
          <w:sz w:val="32"/>
          <w:szCs w:val="32"/>
        </w:rPr>
        <w:t>应急</w:t>
      </w:r>
      <w:r>
        <w:rPr>
          <w:rFonts w:hint="eastAsia" w:cs="仿宋_GB2312"/>
          <w:sz w:val="32"/>
          <w:szCs w:val="32"/>
          <w:lang w:val="en-US" w:eastAsia="zh-CN"/>
        </w:rPr>
        <w:t>局</w:t>
      </w:r>
      <w:r>
        <w:rPr>
          <w:rFonts w:hint="eastAsia" w:ascii="仿宋_GB2312" w:hAnsi="仿宋_GB2312" w:eastAsia="仿宋_GB2312" w:cs="仿宋_GB2312"/>
          <w:sz w:val="32"/>
          <w:szCs w:val="32"/>
        </w:rPr>
        <w:t>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（7）发生</w:t>
      </w:r>
      <w:r>
        <w:rPr>
          <w:rFonts w:hint="eastAsia" w:cs="仿宋_GB2312"/>
          <w:sz w:val="32"/>
          <w:szCs w:val="32"/>
          <w:lang w:val="en-US" w:eastAsia="zh-CN"/>
        </w:rPr>
        <w:t>较大、</w:t>
      </w:r>
      <w:r>
        <w:rPr>
          <w:rFonts w:hint="eastAsia" w:ascii="仿宋_GB2312" w:hAnsi="仿宋_GB2312" w:eastAsia="仿宋_GB2312" w:cs="仿宋_GB2312"/>
          <w:sz w:val="32"/>
          <w:szCs w:val="32"/>
        </w:rPr>
        <w:t>重</w:t>
      </w:r>
      <w:r>
        <w:rPr>
          <w:rFonts w:hint="eastAsia" w:cs="仿宋_GB2312"/>
          <w:sz w:val="32"/>
          <w:szCs w:val="32"/>
          <w:lang w:val="en-US" w:eastAsia="zh-CN"/>
        </w:rPr>
        <w:t>大</w:t>
      </w:r>
      <w:r>
        <w:rPr>
          <w:rFonts w:hint="eastAsia" w:ascii="仿宋_GB2312" w:hAnsi="仿宋_GB2312" w:eastAsia="仿宋_GB2312" w:cs="仿宋_GB2312"/>
          <w:sz w:val="32"/>
          <w:szCs w:val="32"/>
        </w:rPr>
        <w:t>、特大危险化学品事故，应当启动本预案并向</w:t>
      </w:r>
      <w:r>
        <w:rPr>
          <w:rFonts w:hint="eastAsia" w:cs="仿宋_GB2312"/>
          <w:sz w:val="32"/>
          <w:szCs w:val="32"/>
          <w:lang w:val="en-US" w:eastAsia="zh-CN"/>
        </w:rPr>
        <w:t>市</w:t>
      </w:r>
      <w:r>
        <w:rPr>
          <w:rFonts w:hint="eastAsia" w:ascii="仿宋_GB2312" w:hAnsi="仿宋_GB2312" w:eastAsia="仿宋_GB2312" w:cs="仿宋_GB2312"/>
          <w:sz w:val="32"/>
          <w:szCs w:val="32"/>
        </w:rPr>
        <w:t>应急</w:t>
      </w:r>
      <w:r>
        <w:rPr>
          <w:rFonts w:hint="eastAsia" w:cs="仿宋_GB2312"/>
          <w:sz w:val="32"/>
          <w:szCs w:val="32"/>
          <w:lang w:val="en-US" w:eastAsia="zh-CN"/>
        </w:rPr>
        <w:t>局</w:t>
      </w:r>
      <w:r>
        <w:rPr>
          <w:rFonts w:hint="eastAsia" w:ascii="仿宋_GB2312" w:hAnsi="仿宋_GB2312" w:eastAsia="仿宋_GB2312" w:cs="仿宋_GB2312"/>
          <w:sz w:val="32"/>
          <w:szCs w:val="32"/>
        </w:rPr>
        <w:t>报告，请求启动</w:t>
      </w:r>
      <w:r>
        <w:rPr>
          <w:rFonts w:hint="eastAsia" w:cs="仿宋_GB2312"/>
          <w:sz w:val="32"/>
          <w:szCs w:val="32"/>
          <w:lang w:val="en-US" w:eastAsia="zh-CN"/>
        </w:rPr>
        <w:t>市</w:t>
      </w:r>
      <w:r>
        <w:rPr>
          <w:rFonts w:hint="eastAsia" w:ascii="仿宋_GB2312" w:hAnsi="仿宋_GB2312" w:eastAsia="仿宋_GB2312" w:cs="仿宋_GB2312"/>
          <w:sz w:val="32"/>
          <w:szCs w:val="32"/>
        </w:rPr>
        <w:t>级应急预案。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38" w:name="_Toc28836"/>
      <w:r>
        <w:rPr>
          <w:rFonts w:hint="eastAsia" w:ascii="楷体_GB2312" w:hAnsi="楷体_GB2312" w:eastAsia="楷体_GB2312" w:cs="楷体_GB2312"/>
          <w:sz w:val="32"/>
          <w:szCs w:val="32"/>
        </w:rPr>
        <w:t>5.3 现场应急处置方案</w:t>
      </w:r>
      <w:bookmarkEnd w:id="3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危险化学品事故的一般处置方案和不同事故类型处置要点分别如下：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5.3.1 需及时了解的事故现场情况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主要包括（但不限于）下列内容：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（1）遇险人员伤亡、失踪、被困等情况；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（2）事故类型、危险化学品危险特性、数量及应急处置方法等信息；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（3）现场周边建筑、居民、地形、敏感目标及可利用资源等情况；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（4）事发地风速、风向等气象信息；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（5）事故可能导致的后果及对周围区域的可能影响范围和危害程度；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（6）应急救援装备、物资、器材、队伍等应急力量情况；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（7）涉及危险化学品安全生产控制的装置、设备、设施等状况；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（8）发生水上危险化学品泄漏事故的，应及时了解事发地水流流向等相关内容；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cs="仿宋_GB2312"/>
          <w:sz w:val="32"/>
          <w:szCs w:val="32"/>
          <w:lang w:eastAsia="zh-CN"/>
        </w:rPr>
        <w:t>其他情况</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5.3.2 一般处置方案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发生危险化学品事故，</w:t>
      </w:r>
      <w:r>
        <w:rPr>
          <w:rFonts w:hint="eastAsia" w:cs="仿宋_GB2312"/>
          <w:sz w:val="32"/>
          <w:szCs w:val="32"/>
          <w:lang w:val="en-US" w:eastAsia="zh-CN"/>
        </w:rPr>
        <w:t>现场应急</w:t>
      </w:r>
      <w:r>
        <w:rPr>
          <w:rFonts w:hint="eastAsia" w:ascii="仿宋_GB2312" w:hAnsi="仿宋_GB2312" w:eastAsia="仿宋_GB2312" w:cs="仿宋_GB2312"/>
          <w:sz w:val="32"/>
          <w:szCs w:val="32"/>
        </w:rPr>
        <w:t>指挥部应尽可能采取下列（但不限于）一项或者多项基本应急处置措施。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保卫警戒：根据危险化学品火灾、爆炸、泄漏事故所涉及到的范围，利用侦检仪器确定可燃（有毒）物质扩散的范围，紧急情况下也可参照《重点监管的危险化学品目录》（2013年完整版）的规定，设立隔离区并实施警戒，确定疏散区范围，消除警戒区内火种，设置专业观察哨，通往事故现场的道路实行交通管制，确保应急救援通道畅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（2）应急疏散：撤离隔离区内与事故应急处置无关的人员，组织疏散区域内的群众疏散到安全区域。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（3）现场检测：对现场危险品的性质与浓度进行测定，了解受困</w:t>
      </w:r>
      <w:r>
        <w:rPr>
          <w:rFonts w:hint="eastAsia" w:cs="仿宋_GB2312"/>
          <w:sz w:val="32"/>
          <w:szCs w:val="32"/>
          <w:lang w:eastAsia="zh-CN"/>
        </w:rPr>
        <w:t>人员</w:t>
      </w:r>
      <w:r>
        <w:rPr>
          <w:rFonts w:hint="eastAsia" w:ascii="仿宋_GB2312" w:hAnsi="仿宋_GB2312" w:eastAsia="仿宋_GB2312" w:cs="仿宋_GB2312"/>
          <w:sz w:val="32"/>
          <w:szCs w:val="32"/>
        </w:rPr>
        <w:t>情况，在综合评价结果未出来前，应在上风向安全距离集结待命，根据监测信息结果，及时调整事故处置方案。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安全防护：根据危险化学品事故的特点及其引发物质的不同以及应急处置人员的职责，采取不同的防护措施：应急救援指挥人员、医务人员和其他不进入污染区域的应急人员一般配备过滤式防毒面罩、防护服、防毒手套、防毒靴等；工程抢险、消防和侦检等进入污染区域的应急人员应配备密闭型防毒面罩、防酸碱型防护服和空气呼吸器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（5）工程抢险：针对不同事故，开展现场控制工作。应急处置人员应根据事故特点和事故引发物质的不同，采取不同的防护措施。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（6）医疗救护：设置临时医疗救治区（点），对现场伤病员进行检伤分类、抢救后转送有关医院进一步救治。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（7）应急保障：抢修被损坏的交通、通信、供水、排水、供电、供气、供热等公共设施，向受到影响的人员提供避难场所和生活必需品以及其他保障措施。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（8）洗消和现场清理：设立洗消站，对所有染毒人员及工具、装备进行洗消。事故现场各处残留泄漏物和洗消污水应统一收集处理。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现场安全保障：处置现场应设置安全员，全程观察、监测现场，遇到突发情况危及救援人员生命安全时，救援队伍指挥员有权决定暂时停止应急处置，迅速带领救援人员撤出危险区域，并及时报告指挥部。在事故现场得以控制、导致次生衍生事故隐患消除后，经指挥部组织研究，确认符合继续施救条件时，再行组织施救，直至救援任务完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其他注意事项：在易燃易爆危险化学品事故现场，应禁止或限制使用能产生点火源的有关设备、设施，关闭或者限制使用有关场所，中止人员密集的活动或者可能导致危害扩大的生产经营活动，以及采取其他保护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5.3.3 不同类型事故现场处置要点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5.3.3.1 火灾事故处置方案要点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（1）了解现场状况，控制潜在风险源，控制火灾对周边敏感目标的可能影响。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（2）调集相应的消防救援、专业应急救援队伍、专家等救援力量赶赴现场。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（3）组织企业、专家及各应急救援队，根据事故特性及化学品的性质，选用合适的灭火方法，制定和实施火灾扑救方案。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（4）注意配备必要的个体防护装备。出现意外情况时，立即撤离。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（5）实时监测风向、风速、周边环境及风险源控制条件变化，及时评审火势发展态势。救援队伍指挥员要将现场事态的发展及处置行动进展情况及时报告指挥部。指挥部根据事态的发展及时调整处置方案。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5.3.3.2 爆炸事故现场处置要点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（1）确定爆炸发生位置及引起爆炸的物质类别及爆炸类型（物理爆炸、化学爆炸），以及爆炸地点危险化学品的残留情况及周围环境，初步判断是否存在二次爆炸和次生火灾、中毒事故的可能性。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（2）发生物理爆炸时重点关注爆炸现场相邻装置的运行情况；发生化学爆炸须关注现场点火源的情况，现场监测组加强事故现场的易燃易爆气体浓度及气象条件监测。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（3）确定应急需求，调集应急救援力量：调集相应的消防救援、企业应急救援队伍、专业应急救援队伍、专家等救援力量赶赴现场。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（4）组织企业、专家及各应急救援队，根据事故特性、化学品的性质、现场气体浓度及爆炸源的情况确定是否有二次爆炸的风险，确定应采取的处置措施。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（5）制定并实施现场处置方案。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（6）处置人员应配备必要的个体防护装备。出现意外情况时，立即撤离。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（7）各救援队伍要将现场事态的发展及处置行动进展情况及时报告指挥部。指挥部根据事态的发展及时调整处置方案。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5.3.3.3 易燃、易爆和有毒物质泄漏事故现场处置要点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（1）确定泄漏的化学品种类及性质（沸点、闪点、爆炸极限、毒性等）、泄漏源的位置及泄漏源的周围环境情况，明确泄漏可能导致的后果（泄漏是否可能引起火灾、爆炸、中毒等后果）。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（2）根据危险化学品泄漏事故所涉及到的范围，或参照《重点监管危险化学品安全措施和应急处置原则》的规定，确定警戒和疏散范围，设立警戒标志，撤离警戒区内无关人员，疏散周边群众。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cs="仿宋_GB2312"/>
          <w:sz w:val="32"/>
          <w:szCs w:val="32"/>
          <w:lang w:val="en-US" w:eastAsia="zh-CN"/>
        </w:rPr>
        <w:t>申请</w:t>
      </w:r>
      <w:r>
        <w:rPr>
          <w:rFonts w:hint="eastAsia" w:ascii="仿宋_GB2312" w:hAnsi="仿宋_GB2312" w:eastAsia="仿宋_GB2312" w:cs="仿宋_GB2312"/>
          <w:sz w:val="32"/>
          <w:szCs w:val="32"/>
        </w:rPr>
        <w:t>调集相应的消防特勤部队、企业应急救援队伍、专业应急救援队伍、防化兵部队、专家等救援力量赶赴现场。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（4）加强事故现场大气、下水道等场所易燃、易爆、有毒物质浓度检测。做好潜在危险源消除措施。要特别注意避免泄漏的易燃液体随水流扩散。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（5）根据事故现场实际或估算的泄漏量，预测泄漏扩散趋势，确定主要的控制措施（如堵漏、工程抢险、人员疏散、医疗救护等）。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（6）根据泄漏事故特性、化学品的性质，制定和实施现场处置方案。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（7）处置人员应配备必要的个体防护装备。出现意外情况时，立即撤离。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（8）各救援队伍要将现场事态的发展及处置行动进展情况及时报告</w:t>
      </w:r>
      <w:r>
        <w:rPr>
          <w:rFonts w:hint="eastAsia" w:cs="仿宋_GB2312"/>
          <w:sz w:val="32"/>
          <w:szCs w:val="32"/>
          <w:lang w:val="en-US" w:eastAsia="zh-CN"/>
        </w:rPr>
        <w:t>现场应急</w:t>
      </w:r>
      <w:r>
        <w:rPr>
          <w:rFonts w:hint="eastAsia" w:ascii="仿宋_GB2312" w:hAnsi="仿宋_GB2312" w:eastAsia="仿宋_GB2312" w:cs="仿宋_GB2312"/>
          <w:sz w:val="32"/>
          <w:szCs w:val="32"/>
        </w:rPr>
        <w:t>指挥部。</w:t>
      </w:r>
      <w:r>
        <w:rPr>
          <w:rFonts w:hint="eastAsia" w:cs="仿宋_GB2312"/>
          <w:sz w:val="32"/>
          <w:szCs w:val="32"/>
          <w:lang w:val="en-US" w:eastAsia="zh-CN"/>
        </w:rPr>
        <w:t>现场应急</w:t>
      </w:r>
      <w:r>
        <w:rPr>
          <w:rFonts w:hint="eastAsia" w:ascii="仿宋_GB2312" w:hAnsi="仿宋_GB2312" w:eastAsia="仿宋_GB2312" w:cs="仿宋_GB2312"/>
          <w:sz w:val="32"/>
          <w:szCs w:val="32"/>
        </w:rPr>
        <w:t>指挥部根据事态的发展及时调整处置方案。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39" w:name="_Toc9918"/>
      <w:r>
        <w:rPr>
          <w:rFonts w:hint="eastAsia" w:ascii="楷体_GB2312" w:hAnsi="楷体_GB2312" w:eastAsia="楷体_GB2312" w:cs="楷体_GB2312"/>
          <w:sz w:val="32"/>
          <w:szCs w:val="32"/>
        </w:rPr>
        <w:t>5.4 信息发布与舆情应对</w:t>
      </w:r>
      <w:bookmarkEnd w:id="3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5.4.1信息的发布遵循公开、透明、及时的原则，准确、客观、正确引导社会舆论，维护社会稳定和人心安定。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5.4.2  Ⅳ级以上响应的事故信息发布，由</w:t>
      </w:r>
      <w:r>
        <w:rPr>
          <w:rFonts w:hint="eastAsia" w:cs="仿宋_GB2312"/>
          <w:sz w:val="32"/>
          <w:szCs w:val="32"/>
          <w:lang w:val="en-US" w:eastAsia="zh-CN"/>
        </w:rPr>
        <w:t>县应急部门</w:t>
      </w:r>
      <w:r>
        <w:rPr>
          <w:rFonts w:hint="eastAsia" w:ascii="仿宋_GB2312" w:hAnsi="仿宋_GB2312" w:eastAsia="仿宋_GB2312" w:cs="仿宋_GB2312"/>
          <w:sz w:val="32"/>
          <w:szCs w:val="32"/>
        </w:rPr>
        <w:t>会同事故处理相关单位组织起草信息发布内容，同时向</w:t>
      </w:r>
      <w:r>
        <w:rPr>
          <w:rFonts w:hint="eastAsia" w:cs="仿宋_GB2312"/>
          <w:sz w:val="32"/>
          <w:szCs w:val="32"/>
          <w:lang w:val="en-US" w:eastAsia="zh-CN"/>
        </w:rPr>
        <w:t>县</w:t>
      </w:r>
      <w:r>
        <w:rPr>
          <w:rFonts w:hint="eastAsia" w:ascii="仿宋_GB2312" w:hAnsi="仿宋_GB2312" w:eastAsia="仿宋_GB2312" w:cs="仿宋_GB2312"/>
          <w:sz w:val="32"/>
          <w:szCs w:val="32"/>
        </w:rPr>
        <w:t>委宣传部通报，以便及时发布信息并组织舆论引导工作。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5.4.3  I级、Ⅱ级</w:t>
      </w:r>
      <w:r>
        <w:rPr>
          <w:rFonts w:hint="eastAsia" w:cs="仿宋_GB2312"/>
          <w:sz w:val="32"/>
          <w:szCs w:val="32"/>
          <w:lang w:eastAsia="zh-CN"/>
        </w:rPr>
        <w:t>、</w:t>
      </w:r>
      <w:r>
        <w:rPr>
          <w:rFonts w:hint="eastAsia" w:ascii="仿宋_GB2312" w:hAnsi="仿宋_GB2312" w:eastAsia="仿宋_GB2312" w:cs="仿宋_GB2312"/>
          <w:sz w:val="32"/>
          <w:szCs w:val="32"/>
        </w:rPr>
        <w:t>Ⅲ</w:t>
      </w:r>
      <w:r>
        <w:rPr>
          <w:rFonts w:hint="eastAsia" w:cs="仿宋_GB2312"/>
          <w:sz w:val="32"/>
          <w:szCs w:val="32"/>
          <w:lang w:val="en-US" w:eastAsia="zh-CN"/>
        </w:rPr>
        <w:t>级</w:t>
      </w:r>
      <w:r>
        <w:rPr>
          <w:rFonts w:hint="eastAsia" w:ascii="仿宋_GB2312" w:hAnsi="仿宋_GB2312" w:eastAsia="仿宋_GB2312" w:cs="仿宋_GB2312"/>
          <w:sz w:val="32"/>
          <w:szCs w:val="32"/>
        </w:rPr>
        <w:t>响应的信息发布还应分别报请国务院安委办、省安委办</w:t>
      </w:r>
      <w:r>
        <w:rPr>
          <w:rFonts w:hint="eastAsia" w:cs="仿宋_GB2312"/>
          <w:sz w:val="32"/>
          <w:szCs w:val="32"/>
          <w:lang w:eastAsia="zh-CN"/>
        </w:rPr>
        <w:t>、</w:t>
      </w:r>
      <w:r>
        <w:rPr>
          <w:rFonts w:hint="eastAsia" w:cs="仿宋_GB2312"/>
          <w:sz w:val="32"/>
          <w:szCs w:val="32"/>
          <w:lang w:val="en-US" w:eastAsia="zh-CN"/>
        </w:rPr>
        <w:t>市安委办</w:t>
      </w:r>
      <w:r>
        <w:rPr>
          <w:rFonts w:hint="eastAsia" w:ascii="仿宋_GB2312" w:hAnsi="仿宋_GB2312" w:eastAsia="仿宋_GB2312" w:cs="仿宋_GB2312"/>
          <w:sz w:val="32"/>
          <w:szCs w:val="32"/>
        </w:rPr>
        <w:t>等依据有关规定执行。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40" w:name="_Toc670"/>
      <w:r>
        <w:rPr>
          <w:rFonts w:hint="eastAsia" w:ascii="楷体_GB2312" w:hAnsi="楷体_GB2312" w:eastAsia="楷体_GB2312" w:cs="楷体_GB2312"/>
          <w:sz w:val="32"/>
          <w:szCs w:val="32"/>
        </w:rPr>
        <w:t>5.5 应急结束</w:t>
      </w:r>
      <w:bookmarkEnd w:id="4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5.5.1 </w:t>
      </w:r>
      <w:r>
        <w:rPr>
          <w:rFonts w:hint="eastAsia" w:cs="仿宋_GB2312"/>
          <w:sz w:val="32"/>
          <w:szCs w:val="32"/>
          <w:lang w:val="en-US" w:eastAsia="zh-CN"/>
        </w:rPr>
        <w:t>现场应急</w:t>
      </w:r>
      <w:r>
        <w:rPr>
          <w:rFonts w:hint="eastAsia" w:ascii="仿宋_GB2312" w:hAnsi="仿宋_GB2312" w:eastAsia="仿宋_GB2312" w:cs="仿宋_GB2312"/>
          <w:sz w:val="32"/>
          <w:szCs w:val="32"/>
        </w:rPr>
        <w:t>指挥部确认事故现场得到控制，可能导致次生、衍生事故的隐患消除后，向</w:t>
      </w:r>
      <w:r>
        <w:rPr>
          <w:rFonts w:hint="eastAsia" w:cs="仿宋_GB2312"/>
          <w:sz w:val="32"/>
          <w:szCs w:val="32"/>
          <w:lang w:val="en-US" w:eastAsia="zh-CN"/>
        </w:rPr>
        <w:t>县危险化学品事故应急救援指挥部</w:t>
      </w:r>
      <w:r>
        <w:rPr>
          <w:rFonts w:hint="eastAsia" w:ascii="仿宋_GB2312" w:hAnsi="仿宋_GB2312" w:eastAsia="仿宋_GB2312" w:cs="仿宋_GB2312"/>
          <w:sz w:val="32"/>
          <w:szCs w:val="32"/>
        </w:rPr>
        <w:t>和</w:t>
      </w:r>
      <w:r>
        <w:rPr>
          <w:rFonts w:hint="eastAsia" w:cs="仿宋_GB2312"/>
          <w:sz w:val="32"/>
          <w:szCs w:val="32"/>
          <w:lang w:val="en-US" w:eastAsia="zh-CN"/>
        </w:rPr>
        <w:t>县</w:t>
      </w:r>
      <w:r>
        <w:rPr>
          <w:rFonts w:hint="eastAsia" w:ascii="仿宋_GB2312" w:hAnsi="仿宋_GB2312" w:eastAsia="仿宋_GB2312" w:cs="仿宋_GB2312"/>
          <w:sz w:val="32"/>
          <w:szCs w:val="32"/>
        </w:rPr>
        <w:t>政府提出应急结束的报告，经批准后，宣布应急结束。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5.5.2 因客观条件导致无法实施救援，经专家组论证并做好相关工作的基础上，现场应急救援指挥提出终止救援的意见，报</w:t>
      </w:r>
      <w:r>
        <w:rPr>
          <w:rFonts w:hint="eastAsia" w:cs="仿宋_GB2312"/>
          <w:sz w:val="32"/>
          <w:szCs w:val="32"/>
          <w:lang w:val="en-US" w:eastAsia="zh-CN"/>
        </w:rPr>
        <w:t>县</w:t>
      </w:r>
      <w:r>
        <w:rPr>
          <w:rFonts w:hint="eastAsia" w:ascii="仿宋_GB2312" w:hAnsi="仿宋_GB2312" w:eastAsia="仿宋_GB2312" w:cs="仿宋_GB2312"/>
          <w:sz w:val="32"/>
          <w:szCs w:val="32"/>
        </w:rPr>
        <w:t>政府批准后，由</w:t>
      </w:r>
      <w:r>
        <w:rPr>
          <w:rFonts w:hint="eastAsia" w:cs="仿宋_GB2312"/>
          <w:sz w:val="32"/>
          <w:szCs w:val="32"/>
          <w:lang w:val="en-US" w:eastAsia="zh-CN"/>
        </w:rPr>
        <w:t>现场应急</w:t>
      </w:r>
      <w:r>
        <w:rPr>
          <w:rFonts w:hint="eastAsia" w:ascii="仿宋_GB2312" w:hAnsi="仿宋_GB2312" w:eastAsia="仿宋_GB2312" w:cs="仿宋_GB2312"/>
          <w:sz w:val="32"/>
          <w:szCs w:val="32"/>
        </w:rPr>
        <w:t>指挥部宣布应急结束。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方正黑体简体" w:hAnsi="方正黑体简体" w:eastAsia="方正黑体简体" w:cs="方正黑体简体"/>
          <w:sz w:val="32"/>
          <w:szCs w:val="32"/>
        </w:rPr>
      </w:pPr>
      <w:bookmarkStart w:id="41" w:name="_Toc5993"/>
      <w:r>
        <w:rPr>
          <w:rFonts w:hint="eastAsia" w:ascii="方正黑体简体" w:hAnsi="方正黑体简体" w:eastAsia="方正黑体简体" w:cs="方正黑体简体"/>
          <w:sz w:val="32"/>
          <w:szCs w:val="32"/>
        </w:rPr>
        <w:t>6 后期处置</w:t>
      </w:r>
      <w:bookmarkEnd w:id="4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42" w:name="_Toc14067"/>
      <w:r>
        <w:rPr>
          <w:rFonts w:hint="eastAsia" w:ascii="楷体_GB2312" w:hAnsi="楷体_GB2312" w:eastAsia="楷体_GB2312" w:cs="楷体_GB2312"/>
          <w:sz w:val="32"/>
          <w:szCs w:val="32"/>
        </w:rPr>
        <w:t>6.1 善后处置</w:t>
      </w:r>
      <w:bookmarkEnd w:id="4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6.1.1 事发地</w:t>
      </w:r>
      <w:r>
        <w:rPr>
          <w:rFonts w:hint="eastAsia" w:cs="仿宋_GB2312"/>
          <w:sz w:val="32"/>
          <w:szCs w:val="32"/>
          <w:lang w:val="en-US" w:eastAsia="zh-CN"/>
        </w:rPr>
        <w:t>乡（镇）</w:t>
      </w:r>
      <w:r>
        <w:rPr>
          <w:rFonts w:hint="eastAsia" w:ascii="仿宋_GB2312" w:hAnsi="仿宋_GB2312" w:eastAsia="仿宋_GB2312" w:cs="仿宋_GB2312"/>
          <w:sz w:val="32"/>
          <w:szCs w:val="32"/>
        </w:rPr>
        <w:t>政府和事故发生单位要组织妥善安置和慰问受害及受影响人员，组织开展遇难人员善后和赔偿、征用物资补偿、协调应急救援队伍补偿等工作，尽快消除事故影响，恢复正常秩序，保证社会稳定。</w:t>
      </w:r>
      <w:r>
        <w:rPr>
          <w:rFonts w:hint="eastAsia" w:cs="仿宋_GB2312"/>
          <w:sz w:val="32"/>
          <w:szCs w:val="32"/>
          <w:lang w:val="en-US" w:eastAsia="zh-CN"/>
        </w:rPr>
        <w:t>县危险化学品事故应急救援指挥部</w:t>
      </w:r>
      <w:r>
        <w:rPr>
          <w:rFonts w:hint="eastAsia" w:ascii="仿宋_GB2312" w:hAnsi="仿宋_GB2312" w:eastAsia="仿宋_GB2312" w:cs="仿宋_GB2312"/>
          <w:sz w:val="32"/>
          <w:szCs w:val="32"/>
        </w:rPr>
        <w:t>办公室负责协调做好相关工作。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6.1.2 生态环境部门负责做好危险废物收集清理与处置的监督管理工作。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43" w:name="_Toc30979"/>
      <w:r>
        <w:rPr>
          <w:rFonts w:hint="eastAsia" w:ascii="楷体_GB2312" w:hAnsi="楷体_GB2312" w:eastAsia="楷体_GB2312" w:cs="楷体_GB2312"/>
          <w:sz w:val="32"/>
          <w:szCs w:val="32"/>
        </w:rPr>
        <w:t>6.2 总结与评估</w:t>
      </w:r>
      <w:bookmarkEnd w:id="4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6.2.1 参加救援的部门和单位应整理应急救援记录、图纸，及时写出应急救援总结报告，提交</w:t>
      </w:r>
      <w:r>
        <w:rPr>
          <w:rFonts w:hint="eastAsia" w:cs="仿宋_GB2312"/>
          <w:sz w:val="32"/>
          <w:szCs w:val="32"/>
          <w:lang w:val="en-US" w:eastAsia="zh-CN"/>
        </w:rPr>
        <w:t>县危险化学品事故应急救援指挥部</w:t>
      </w:r>
      <w:r>
        <w:rPr>
          <w:rFonts w:hint="eastAsia" w:ascii="仿宋_GB2312" w:hAnsi="仿宋_GB2312" w:eastAsia="仿宋_GB2312" w:cs="仿宋_GB2312"/>
          <w:sz w:val="32"/>
          <w:szCs w:val="32"/>
        </w:rPr>
        <w:t>办公室和</w:t>
      </w:r>
      <w:r>
        <w:rPr>
          <w:rFonts w:hint="eastAsia" w:cs="仿宋_GB2312"/>
          <w:sz w:val="32"/>
          <w:szCs w:val="32"/>
          <w:lang w:val="en-US" w:eastAsia="zh-CN"/>
        </w:rPr>
        <w:t>事故所在地</w:t>
      </w:r>
      <w:r>
        <w:rPr>
          <w:rFonts w:hint="eastAsia" w:ascii="仿宋_GB2312" w:hAnsi="仿宋_GB2312" w:eastAsia="仿宋_GB2312" w:cs="仿宋_GB2312"/>
          <w:sz w:val="32"/>
          <w:szCs w:val="32"/>
        </w:rPr>
        <w:t>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6.2.2 </w:t>
      </w:r>
      <w:r>
        <w:rPr>
          <w:rFonts w:hint="eastAsia" w:cs="仿宋_GB2312"/>
          <w:sz w:val="32"/>
          <w:szCs w:val="32"/>
          <w:lang w:val="en-US" w:eastAsia="zh-CN"/>
        </w:rPr>
        <w:t>现场应急</w:t>
      </w:r>
      <w:r>
        <w:rPr>
          <w:rFonts w:hint="eastAsia" w:ascii="仿宋_GB2312" w:hAnsi="仿宋_GB2312" w:eastAsia="仿宋_GB2312" w:cs="仿宋_GB2312"/>
          <w:sz w:val="32"/>
          <w:szCs w:val="32"/>
        </w:rPr>
        <w:t>指挥部对应急救援工作进行总结，完成事故应急处置工作总结报告，并将总结报告报事故调查组、</w:t>
      </w:r>
      <w:r>
        <w:rPr>
          <w:rFonts w:hint="eastAsia" w:cs="仿宋_GB2312"/>
          <w:sz w:val="32"/>
          <w:szCs w:val="32"/>
          <w:lang w:val="en-US" w:eastAsia="zh-CN"/>
        </w:rPr>
        <w:t>县</w:t>
      </w:r>
      <w:r>
        <w:rPr>
          <w:rFonts w:hint="eastAsia" w:ascii="仿宋_GB2312" w:hAnsi="仿宋_GB2312" w:eastAsia="仿宋_GB2312" w:cs="仿宋_GB2312"/>
          <w:sz w:val="32"/>
          <w:szCs w:val="32"/>
        </w:rPr>
        <w:t>政府和</w:t>
      </w:r>
      <w:r>
        <w:rPr>
          <w:rFonts w:hint="eastAsia" w:cs="仿宋_GB2312"/>
          <w:sz w:val="32"/>
          <w:szCs w:val="32"/>
          <w:lang w:val="en-US" w:eastAsia="zh-CN"/>
        </w:rPr>
        <w:t>县</w:t>
      </w:r>
      <w:r>
        <w:rPr>
          <w:rFonts w:hint="eastAsia" w:ascii="仿宋_GB2312" w:hAnsi="仿宋_GB2312" w:eastAsia="仿宋_GB2312" w:cs="仿宋_GB2312"/>
          <w:sz w:val="32"/>
          <w:szCs w:val="32"/>
        </w:rPr>
        <w:t>应急局。事故应急处置工作总结报告的主要内容包括：事故基本情况、事故信息接收与报送情况、应急处置组织与领导、应急预案执行情况、应急救援队伍工作情况、主要技术措施及其实施情况、救援成效、经验教训、相关建议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6.2.3 </w:t>
      </w:r>
      <w:r>
        <w:rPr>
          <w:rFonts w:hint="eastAsia" w:cs="仿宋_GB2312"/>
          <w:sz w:val="32"/>
          <w:szCs w:val="32"/>
          <w:lang w:val="en-US" w:eastAsia="zh-CN"/>
        </w:rPr>
        <w:t>乡（镇）政府、有关单位、</w:t>
      </w:r>
      <w:r>
        <w:rPr>
          <w:rFonts w:hint="eastAsia" w:ascii="仿宋_GB2312" w:hAnsi="仿宋_GB2312" w:eastAsia="仿宋_GB2312" w:cs="仿宋_GB2312"/>
          <w:sz w:val="32"/>
          <w:szCs w:val="32"/>
        </w:rPr>
        <w:t>有关企业要认真分析事故原因，制定防范措施，落实安全生产责任制，防止类似事故再次发生。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方正黑体简体" w:hAnsi="方正黑体简体" w:eastAsia="方正黑体简体" w:cs="方正黑体简体"/>
          <w:color w:val="auto"/>
          <w:sz w:val="32"/>
          <w:szCs w:val="32"/>
        </w:rPr>
      </w:pPr>
      <w:bookmarkStart w:id="44" w:name="_Toc24958"/>
      <w:r>
        <w:rPr>
          <w:rFonts w:hint="eastAsia" w:ascii="方正黑体简体" w:hAnsi="方正黑体简体" w:eastAsia="方正黑体简体" w:cs="方正黑体简体"/>
          <w:color w:val="auto"/>
          <w:sz w:val="32"/>
          <w:szCs w:val="32"/>
        </w:rPr>
        <w:t>7 保障措施</w:t>
      </w:r>
      <w:bookmarkEnd w:id="4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color w:val="auto"/>
          <w:sz w:val="32"/>
          <w:szCs w:val="32"/>
        </w:rPr>
      </w:pPr>
      <w:bookmarkStart w:id="45" w:name="_Toc10748"/>
      <w:r>
        <w:rPr>
          <w:rFonts w:hint="eastAsia" w:ascii="楷体_GB2312" w:hAnsi="楷体_GB2312" w:eastAsia="楷体_GB2312" w:cs="楷体_GB2312"/>
          <w:color w:val="auto"/>
          <w:sz w:val="32"/>
          <w:szCs w:val="32"/>
        </w:rPr>
        <w:t>7.1 通信保障</w:t>
      </w:r>
      <w:bookmarkEnd w:id="4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7.1.1 县危险化学品事故应急指挥部办公室、各成员单位的联系方式要确保联络畅通，应急值班电话要保证24小时有人值守。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7.1.2 县危险化学品事故应急指挥部办公室建立、及时更新各成员单位、各级应急管理部门以及市内主要救援队伍、部分应急救援专家、市内救援装备、物资生产和储备单位的通信联络信息库。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color w:val="auto"/>
          <w:sz w:val="32"/>
          <w:szCs w:val="32"/>
        </w:rPr>
      </w:pPr>
      <w:bookmarkStart w:id="46" w:name="_Toc24802"/>
      <w:r>
        <w:rPr>
          <w:rFonts w:hint="eastAsia" w:ascii="楷体_GB2312" w:hAnsi="楷体_GB2312" w:eastAsia="楷体_GB2312" w:cs="楷体_GB2312"/>
          <w:color w:val="auto"/>
          <w:sz w:val="32"/>
          <w:szCs w:val="32"/>
        </w:rPr>
        <w:t>7.2 应急队伍保障</w:t>
      </w:r>
      <w:bookmarkEnd w:id="4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充实危险化学品事故应急救援队伍，建立应急救援专家库。相关专家接到指令后应尽快赶赴指定地点或通过网络、电话联络等手段，为应急救援工作提供专业咨询和技术支持。鼓励支持社会应急力量发展，完善与政府力量的协作联动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color w:val="auto"/>
          <w:sz w:val="32"/>
          <w:szCs w:val="32"/>
        </w:rPr>
      </w:pPr>
      <w:bookmarkStart w:id="47" w:name="_Toc2173"/>
      <w:r>
        <w:rPr>
          <w:rFonts w:hint="eastAsia" w:ascii="楷体_GB2312" w:hAnsi="楷体_GB2312" w:eastAsia="楷体_GB2312" w:cs="楷体_GB2312"/>
          <w:color w:val="auto"/>
          <w:sz w:val="32"/>
          <w:szCs w:val="32"/>
        </w:rPr>
        <w:t>7.3 应急装备和物资保障</w:t>
      </w:r>
      <w:bookmarkEnd w:id="4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7.3.1 危险化学品生产经营单位按本企业危险化学品事故救援的需要和特点，配备应急救援装备和物资。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7.3.2 </w:t>
      </w:r>
      <w:r>
        <w:rPr>
          <w:rFonts w:hint="eastAsia" w:cs="仿宋_GB2312"/>
          <w:color w:val="auto"/>
          <w:sz w:val="32"/>
          <w:szCs w:val="32"/>
          <w:lang w:val="en-US" w:eastAsia="zh-CN"/>
        </w:rPr>
        <w:t>乡（镇）人民政府、</w:t>
      </w:r>
      <w:r>
        <w:rPr>
          <w:rFonts w:hint="eastAsia" w:ascii="仿宋_GB2312" w:hAnsi="仿宋_GB2312" w:eastAsia="仿宋_GB2312" w:cs="仿宋_GB2312"/>
          <w:color w:val="auto"/>
          <w:sz w:val="32"/>
          <w:szCs w:val="32"/>
        </w:rPr>
        <w:t>各级各有关部门根据本辖区或本部门的实际情况储备应急救援装备和物资。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7.3.3 应急部门指导、协调专业应急救援基地的建设和完善工作；建立完善危险化学品事故特种救援装备（泡沫车、药剂车、联用车、气防车、化学抢险救灾专用设备、消防拖船、专业应急处置船等）和重要物资（类型、数量、性能、存放位置、运输及使用条件、联系人及其联系方式）数据库，制定调用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7.3.4 必要时，可依据有关法律法规的规定征用社会物资。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7.3.5 有关单位要加强对配备、储备应急救援装备和物资的管理，定期检查、维护，使其处于良好状态，防止被盗用、挪用、流散和失效，及时补充和更新，实现动态管理。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7.3.6 政府常备应急救援装备和物资经费由本级政府财政负责；企业常备应急救援装备和物资经费由企业负责。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color w:val="auto"/>
          <w:sz w:val="32"/>
          <w:szCs w:val="32"/>
        </w:rPr>
      </w:pPr>
      <w:bookmarkStart w:id="48" w:name="_Toc29811"/>
      <w:r>
        <w:rPr>
          <w:rFonts w:hint="eastAsia" w:ascii="楷体_GB2312" w:hAnsi="楷体_GB2312" w:eastAsia="楷体_GB2312" w:cs="楷体_GB2312"/>
          <w:color w:val="auto"/>
          <w:sz w:val="32"/>
          <w:szCs w:val="32"/>
        </w:rPr>
        <w:t>7.4 应急经费保障</w:t>
      </w:r>
      <w:bookmarkEnd w:id="4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7.4.1 事故应急救援经费首先由事故责任单位承担，事故责任单位应当做好事故应急救援必要的资金准备。事故责任单位暂时无力承担的，由当地政府协调解决。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7.4.2 对需由财政负担的事故应急救援资金，按照现行财权、事权划分的原则分级负担。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color w:val="auto"/>
          <w:sz w:val="32"/>
          <w:szCs w:val="32"/>
        </w:rPr>
      </w:pPr>
      <w:bookmarkStart w:id="49" w:name="_Toc28977"/>
      <w:r>
        <w:rPr>
          <w:rFonts w:hint="eastAsia" w:ascii="楷体_GB2312" w:hAnsi="楷体_GB2312" w:eastAsia="楷体_GB2312" w:cs="楷体_GB2312"/>
          <w:color w:val="auto"/>
          <w:sz w:val="32"/>
          <w:szCs w:val="32"/>
        </w:rPr>
        <w:t>7.5 交通运输保障</w:t>
      </w:r>
      <w:bookmarkEnd w:id="4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县政府和公安、交通等部门负责应急处置交通保障的组织、实施</w:t>
      </w:r>
      <w:r>
        <w:rPr>
          <w:rFonts w:hint="eastAsia" w:cs="仿宋_GB2312"/>
          <w:color w:val="auto"/>
          <w:sz w:val="32"/>
          <w:szCs w:val="32"/>
          <w:lang w:eastAsia="zh-CN"/>
        </w:rPr>
        <w:t>，</w:t>
      </w:r>
      <w:r>
        <w:rPr>
          <w:rFonts w:hint="eastAsia" w:cs="仿宋_GB2312"/>
          <w:color w:val="auto"/>
          <w:sz w:val="32"/>
          <w:szCs w:val="32"/>
          <w:lang w:val="en-US" w:eastAsia="zh-CN"/>
        </w:rPr>
        <w:t>事发地乡（镇）配合做好交通运输保障</w:t>
      </w:r>
      <w:r>
        <w:rPr>
          <w:rFonts w:hint="eastAsia" w:ascii="仿宋_GB2312" w:hAnsi="仿宋_GB2312" w:eastAsia="仿宋_GB2312" w:cs="仿宋_GB2312"/>
          <w:color w:val="auto"/>
          <w:sz w:val="32"/>
          <w:szCs w:val="32"/>
        </w:rPr>
        <w:t>。及时对现场和相关通道实行交通管制，开设应急救援专用通道，确保应急物资、装备和人员的输送安全。公路设施受损时，要迅速组织有关部门和专业队伍进行抢修，尽快恢复安全通行状态。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color w:val="auto"/>
          <w:sz w:val="32"/>
          <w:szCs w:val="32"/>
        </w:rPr>
      </w:pPr>
      <w:bookmarkStart w:id="50" w:name="_Toc15943"/>
      <w:r>
        <w:rPr>
          <w:rFonts w:hint="eastAsia" w:ascii="楷体_GB2312" w:hAnsi="楷体_GB2312" w:eastAsia="楷体_GB2312" w:cs="楷体_GB2312"/>
          <w:color w:val="auto"/>
          <w:sz w:val="32"/>
          <w:szCs w:val="32"/>
        </w:rPr>
        <w:t>7.6 医疗卫生保障</w:t>
      </w:r>
      <w:bookmarkEnd w:id="5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7.6.1 各级卫生健康部门应建立专业医疗救护队伍，配备专业救护设备，健全医疗卫生工作机制，指导或实施对危险化学品生产安全事故伤员的院前急救、转运、后续救治及有关卫生防疫工作；红十字会等社会救援组织积极配合专业医疗队伍参与救援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7.6.2 针对危险化学品事故可能造成的健康危害，开展医疗救援演练和公众自救、互救医疗常识宣传教育。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7.6.3 危险化学品生产经营单位针对本单位可能发生事故的类别，加强员工自救、互救知识和技能培训，最大限度降低事故造成的人员伤害和健康危害。</w:t>
      </w: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color w:val="auto"/>
          <w:sz w:val="32"/>
          <w:szCs w:val="32"/>
        </w:rPr>
      </w:pPr>
      <w:bookmarkStart w:id="51" w:name="_Toc15746"/>
      <w:r>
        <w:rPr>
          <w:rFonts w:hint="eastAsia" w:ascii="楷体_GB2312" w:hAnsi="楷体_GB2312" w:eastAsia="楷体_GB2312" w:cs="楷体_GB2312"/>
          <w:color w:val="auto"/>
          <w:sz w:val="32"/>
          <w:szCs w:val="32"/>
        </w:rPr>
        <w:t>7.7 治安保障</w:t>
      </w:r>
      <w:bookmarkEnd w:id="5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县政府组织事故现场治安警戒和治安管理，</w:t>
      </w:r>
      <w:r>
        <w:rPr>
          <w:rFonts w:hint="eastAsia" w:cs="仿宋_GB2312"/>
          <w:color w:val="auto"/>
          <w:sz w:val="32"/>
          <w:szCs w:val="32"/>
          <w:lang w:val="en-US" w:eastAsia="zh-CN"/>
        </w:rPr>
        <w:t>事发地乡（镇）配合做好治安保障</w:t>
      </w:r>
      <w:r>
        <w:rPr>
          <w:rFonts w:hint="eastAsia" w:ascii="仿宋_GB2312" w:hAnsi="仿宋_GB2312" w:eastAsia="仿宋_GB2312" w:cs="仿宋_GB2312"/>
          <w:color w:val="auto"/>
          <w:sz w:val="32"/>
          <w:szCs w:val="32"/>
        </w:rPr>
        <w:t>。加强对重点地区、重点场所、密集人群、重要物资设备的防范保护，维持现场秩序，及时疏散群众。发动和组织群众，开展群防联防，协助做好治安工作。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color w:val="auto"/>
          <w:sz w:val="32"/>
          <w:szCs w:val="32"/>
        </w:rPr>
      </w:pPr>
      <w:bookmarkStart w:id="52" w:name="_Toc15118"/>
      <w:r>
        <w:rPr>
          <w:rFonts w:hint="eastAsia" w:ascii="楷体_GB2312" w:hAnsi="楷体_GB2312" w:eastAsia="楷体_GB2312" w:cs="楷体_GB2312"/>
          <w:color w:val="auto"/>
          <w:sz w:val="32"/>
          <w:szCs w:val="32"/>
        </w:rPr>
        <w:t>7.</w:t>
      </w:r>
      <w:r>
        <w:rPr>
          <w:rFonts w:hint="eastAsia" w:ascii="楷体_GB2312" w:hAnsi="楷体_GB2312" w:eastAsia="楷体_GB2312" w:cs="楷体_GB2312"/>
          <w:color w:val="auto"/>
          <w:sz w:val="32"/>
          <w:szCs w:val="32"/>
          <w:lang w:val="en-US" w:eastAsia="zh-CN"/>
        </w:rPr>
        <w:t>8</w:t>
      </w:r>
      <w:r>
        <w:rPr>
          <w:rFonts w:hint="eastAsia" w:ascii="楷体_GB2312" w:hAnsi="楷体_GB2312" w:eastAsia="楷体_GB2312" w:cs="楷体_GB2312"/>
          <w:color w:val="auto"/>
          <w:sz w:val="32"/>
          <w:szCs w:val="32"/>
        </w:rPr>
        <w:t xml:space="preserve"> </w:t>
      </w:r>
      <w:r>
        <w:rPr>
          <w:rFonts w:hint="eastAsia" w:ascii="楷体_GB2312" w:hAnsi="楷体_GB2312" w:eastAsia="楷体_GB2312" w:cs="楷体_GB2312"/>
          <w:color w:val="auto"/>
          <w:sz w:val="32"/>
          <w:szCs w:val="32"/>
          <w:lang w:val="en-US" w:eastAsia="zh-CN"/>
        </w:rPr>
        <w:t>其他</w:t>
      </w:r>
      <w:r>
        <w:rPr>
          <w:rFonts w:hint="eastAsia" w:ascii="楷体_GB2312" w:hAnsi="楷体_GB2312" w:eastAsia="楷体_GB2312" w:cs="楷体_GB2312"/>
          <w:color w:val="auto"/>
          <w:sz w:val="32"/>
          <w:szCs w:val="32"/>
        </w:rPr>
        <w:t>保障</w:t>
      </w:r>
      <w:bookmarkEnd w:id="52"/>
    </w:p>
    <w:p>
      <w:pPr>
        <w:pStyle w:val="3"/>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县气象局负责做好气象服务保障工作，及时提供天气预报并加强对极端天气的监测预警和气象分析。事故发生后，应立即提供事件发生地及附近的天气情况，对未来天气情况进行实时精准预测。</w:t>
      </w:r>
    </w:p>
    <w:p>
      <w:pPr>
        <w:pStyle w:val="3"/>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县司法局对危险化学品事故应对工作提供法律意见，为应急管理工作提供法制保障。负责应急法律服务，及时为群众提供法律服务和法律援助。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方正黑体简体" w:hAnsi="方正黑体简体" w:eastAsia="方正黑体简体" w:cs="方正黑体简体"/>
          <w:color w:val="auto"/>
          <w:sz w:val="32"/>
          <w:szCs w:val="32"/>
        </w:rPr>
      </w:pPr>
      <w:bookmarkStart w:id="53" w:name="_Toc1189"/>
      <w:r>
        <w:rPr>
          <w:rFonts w:hint="eastAsia" w:ascii="方正黑体简体" w:hAnsi="方正黑体简体" w:eastAsia="方正黑体简体" w:cs="方正黑体简体"/>
          <w:color w:val="auto"/>
          <w:sz w:val="32"/>
          <w:szCs w:val="32"/>
        </w:rPr>
        <w:t>8 预案管理</w:t>
      </w:r>
      <w:bookmarkEnd w:id="5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color w:val="auto"/>
          <w:sz w:val="32"/>
          <w:szCs w:val="32"/>
        </w:rPr>
      </w:pPr>
      <w:bookmarkStart w:id="54" w:name="_Toc1372"/>
      <w:r>
        <w:rPr>
          <w:rFonts w:hint="eastAsia" w:ascii="楷体_GB2312" w:hAnsi="楷体_GB2312" w:eastAsia="楷体_GB2312" w:cs="楷体_GB2312"/>
          <w:color w:val="auto"/>
          <w:sz w:val="32"/>
          <w:szCs w:val="32"/>
        </w:rPr>
        <w:t>8.1 培训宣传</w:t>
      </w:r>
      <w:bookmarkEnd w:id="5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8.1.1 </w:t>
      </w:r>
      <w:r>
        <w:rPr>
          <w:rFonts w:hint="eastAsia" w:cs="仿宋_GB2312"/>
          <w:color w:val="auto"/>
          <w:sz w:val="32"/>
          <w:szCs w:val="32"/>
          <w:lang w:val="en-US" w:eastAsia="zh-CN"/>
        </w:rPr>
        <w:t>县应急局、</w:t>
      </w:r>
      <w:r>
        <w:rPr>
          <w:rFonts w:hint="eastAsia" w:ascii="仿宋_GB2312" w:hAnsi="仿宋_GB2312" w:eastAsia="仿宋_GB2312" w:cs="仿宋_GB2312"/>
          <w:color w:val="auto"/>
          <w:sz w:val="32"/>
          <w:szCs w:val="32"/>
        </w:rPr>
        <w:t>县危险化学品事故应急指挥部办公室通过编发培训材料、举办培训班、开展工作研讨等方式，对与本应急预案实施密切相关的管理人员进行应急预案培训。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8.1.2 </w:t>
      </w:r>
      <w:r>
        <w:rPr>
          <w:rFonts w:hint="eastAsia" w:cs="仿宋_GB2312"/>
          <w:color w:val="auto"/>
          <w:sz w:val="32"/>
          <w:szCs w:val="32"/>
          <w:lang w:val="en-US" w:eastAsia="zh-CN"/>
        </w:rPr>
        <w:t>县、乡（镇）</w:t>
      </w:r>
      <w:r>
        <w:rPr>
          <w:rFonts w:hint="eastAsia" w:ascii="仿宋_GB2312" w:hAnsi="仿宋_GB2312" w:eastAsia="仿宋_GB2312" w:cs="仿宋_GB2312"/>
          <w:color w:val="auto"/>
          <w:sz w:val="32"/>
          <w:szCs w:val="32"/>
        </w:rPr>
        <w:t>政府应加强危险化学品生产安全事故应急救援知识的宣传。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8.1.3 危险化学品企业应与当地政府、社区建立联动机制，向周边群众宣传相关应急知识；应结合企业实际情况，做好专、兼职应急救援队伍的培训，适时组织企业员工开展安全生产及应急救援知识培训，提高员工自救、互救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color w:val="auto"/>
          <w:sz w:val="32"/>
          <w:szCs w:val="32"/>
        </w:rPr>
      </w:pPr>
      <w:bookmarkStart w:id="55" w:name="_Toc15917"/>
      <w:r>
        <w:rPr>
          <w:rFonts w:hint="eastAsia" w:ascii="楷体_GB2312" w:hAnsi="楷体_GB2312" w:eastAsia="楷体_GB2312" w:cs="楷体_GB2312"/>
          <w:color w:val="auto"/>
          <w:sz w:val="32"/>
          <w:szCs w:val="32"/>
        </w:rPr>
        <w:t>8.2 预案演练</w:t>
      </w:r>
      <w:bookmarkEnd w:id="5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8.2.1 应急预案的演练可采用实战演练和桌面演练等多种形式。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8.2.2 县危险化学品事故应急指挥部办公室至少每两年会同有关部门和</w:t>
      </w:r>
      <w:r>
        <w:rPr>
          <w:rFonts w:hint="eastAsia" w:cs="仿宋_GB2312"/>
          <w:color w:val="auto"/>
          <w:sz w:val="32"/>
          <w:szCs w:val="32"/>
          <w:lang w:val="en-US" w:eastAsia="zh-CN"/>
        </w:rPr>
        <w:t>乡（镇）</w:t>
      </w:r>
      <w:r>
        <w:rPr>
          <w:rFonts w:hint="eastAsia" w:ascii="仿宋_GB2312" w:hAnsi="仿宋_GB2312" w:eastAsia="仿宋_GB2312" w:cs="仿宋_GB2312"/>
          <w:color w:val="auto"/>
          <w:sz w:val="32"/>
          <w:szCs w:val="32"/>
        </w:rPr>
        <w:t>政府进行一次本预案的演练，加强各部门之间的协同能力，提高防范和处置较大生产安全事故的实战能力。演练结束后，主管处置部门及参演单位应对演练效果进行评价，及时分析存在的问题，及时整改。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color w:val="auto"/>
          <w:sz w:val="32"/>
          <w:szCs w:val="32"/>
        </w:rPr>
      </w:pPr>
      <w:bookmarkStart w:id="56" w:name="_Toc10378"/>
      <w:r>
        <w:rPr>
          <w:rFonts w:hint="eastAsia" w:ascii="楷体_GB2312" w:hAnsi="楷体_GB2312" w:eastAsia="楷体_GB2312" w:cs="楷体_GB2312"/>
          <w:color w:val="auto"/>
          <w:sz w:val="32"/>
          <w:szCs w:val="32"/>
        </w:rPr>
        <w:t>8.3 预案修订</w:t>
      </w:r>
      <w:bookmarkEnd w:id="5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8.3.1 本预案原则上每三年至少进行一次修订和论证。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8.3.2 发生下列情况时，县危险化学品事故应急指挥部办公室及时组织修订本预案：所依据的法律、法规、规章、上</w:t>
      </w:r>
      <w:r>
        <w:rPr>
          <w:rFonts w:hint="eastAsia" w:cs="仿宋_GB2312"/>
          <w:color w:val="auto"/>
          <w:sz w:val="32"/>
          <w:szCs w:val="32"/>
          <w:lang w:val="en-US" w:eastAsia="zh-CN"/>
        </w:rPr>
        <w:t>级</w:t>
      </w:r>
      <w:r>
        <w:rPr>
          <w:rFonts w:hint="eastAsia" w:ascii="仿宋_GB2312" w:hAnsi="仿宋_GB2312" w:eastAsia="仿宋_GB2312" w:cs="仿宋_GB2312"/>
          <w:color w:val="auto"/>
          <w:sz w:val="32"/>
          <w:szCs w:val="32"/>
        </w:rPr>
        <w:t>预案的有关规定发生变化；所涉及部门机构调整，部门职责发生重大变化；面临的风险或重要应急资源变化；在事故实际应对和应急演练中发现缺陷或新问题；县危险化学品事故应急指挥部办公室认为应当修订的其他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仿宋_GB2312" w:hAnsi="仿宋_GB2312" w:eastAsia="楷体_GB2312" w:cs="仿宋_GB2312"/>
          <w:color w:val="auto"/>
          <w:kern w:val="2"/>
          <w:sz w:val="32"/>
          <w:szCs w:val="32"/>
          <w:lang w:val="en-US" w:eastAsia="zh-CN" w:bidi="ar-SA"/>
        </w:rPr>
      </w:pPr>
      <w:bookmarkStart w:id="57" w:name="_Toc6645"/>
      <w:r>
        <w:rPr>
          <w:rFonts w:hint="eastAsia" w:ascii="楷体_GB2312" w:hAnsi="楷体_GB2312" w:eastAsia="楷体_GB2312" w:cs="楷体_GB2312"/>
          <w:color w:val="auto"/>
          <w:sz w:val="32"/>
          <w:szCs w:val="32"/>
        </w:rPr>
        <w:t>8.4 预案</w:t>
      </w:r>
      <w:r>
        <w:rPr>
          <w:rFonts w:hint="eastAsia" w:ascii="楷体_GB2312" w:hAnsi="楷体_GB2312" w:eastAsia="楷体_GB2312" w:cs="楷体_GB2312"/>
          <w:color w:val="auto"/>
          <w:sz w:val="32"/>
          <w:szCs w:val="32"/>
          <w:lang w:val="en-US" w:eastAsia="zh-CN"/>
        </w:rPr>
        <w:t>衔接</w:t>
      </w:r>
      <w:bookmarkEnd w:id="57"/>
    </w:p>
    <w:p>
      <w:pPr>
        <w:pStyle w:val="3"/>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本预案与上级预案</w:t>
      </w:r>
      <w:r>
        <w:rPr>
          <w:rFonts w:hint="eastAsia" w:hAnsi="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福州市危险化学品生产安全事故应急预案》及下级预案各镇（乡）危险化学品应急救援预案衔接。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仿宋_GB2312" w:hAnsi="仿宋_GB2312" w:eastAsia="楷体_GB2312" w:cs="仿宋_GB2312"/>
          <w:color w:val="auto"/>
          <w:kern w:val="2"/>
          <w:sz w:val="32"/>
          <w:szCs w:val="32"/>
          <w:lang w:val="en-US" w:eastAsia="zh-CN" w:bidi="ar-SA"/>
        </w:rPr>
      </w:pPr>
      <w:bookmarkStart w:id="58" w:name="_Toc10075"/>
      <w:r>
        <w:rPr>
          <w:rFonts w:hint="eastAsia" w:ascii="楷体_GB2312" w:hAnsi="楷体_GB2312" w:eastAsia="楷体_GB2312" w:cs="楷体_GB2312"/>
          <w:color w:val="auto"/>
          <w:sz w:val="32"/>
          <w:szCs w:val="32"/>
        </w:rPr>
        <w:t>8.</w:t>
      </w:r>
      <w:r>
        <w:rPr>
          <w:rFonts w:hint="eastAsia" w:ascii="楷体_GB2312" w:hAnsi="楷体_GB2312" w:eastAsia="楷体_GB2312" w:cs="楷体_GB2312"/>
          <w:color w:val="auto"/>
          <w:sz w:val="32"/>
          <w:szCs w:val="32"/>
          <w:lang w:val="en-US" w:eastAsia="zh-CN"/>
        </w:rPr>
        <w:t>5</w:t>
      </w:r>
      <w:r>
        <w:rPr>
          <w:rFonts w:hint="eastAsia" w:ascii="楷体_GB2312" w:hAnsi="楷体_GB2312" w:eastAsia="楷体_GB2312" w:cs="楷体_GB2312"/>
          <w:color w:val="auto"/>
          <w:sz w:val="32"/>
          <w:szCs w:val="32"/>
        </w:rPr>
        <w:t xml:space="preserve"> </w:t>
      </w:r>
      <w:r>
        <w:rPr>
          <w:rFonts w:hint="eastAsia" w:ascii="楷体_GB2312" w:hAnsi="楷体_GB2312" w:eastAsia="楷体_GB2312" w:cs="楷体_GB2312"/>
          <w:color w:val="auto"/>
          <w:sz w:val="32"/>
          <w:szCs w:val="32"/>
          <w:lang w:val="en-US" w:eastAsia="zh-CN"/>
        </w:rPr>
        <w:t>预案编制、备案与公布</w:t>
      </w:r>
      <w:bookmarkEnd w:id="58"/>
    </w:p>
    <w:p>
      <w:pPr>
        <w:pStyle w:val="3"/>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本预案由县应急管理局组织制订、实施、修订、完善、评审和更新</w:t>
      </w:r>
      <w:r>
        <w:rPr>
          <w:rFonts w:hint="eastAsia"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经政府办同意后以永泰县应急管理局名义印发。同时，及时向社会公布，对确需保密的内容，按有关保密规定执行。</w:t>
      </w:r>
    </w:p>
    <w:p>
      <w:pPr>
        <w:pStyle w:val="3"/>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县专项应急预案在印发后的20个工作日内抄送市政府有关主管部门备案。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color w:val="auto"/>
          <w:sz w:val="32"/>
          <w:szCs w:val="32"/>
        </w:rPr>
      </w:pPr>
      <w:bookmarkStart w:id="59" w:name="_Toc16550"/>
      <w:r>
        <w:rPr>
          <w:rFonts w:hint="eastAsia" w:ascii="楷体_GB2312" w:hAnsi="楷体_GB2312" w:eastAsia="楷体_GB2312" w:cs="楷体_GB2312"/>
          <w:color w:val="auto"/>
          <w:sz w:val="32"/>
          <w:szCs w:val="32"/>
        </w:rPr>
        <w:t>8.</w:t>
      </w:r>
      <w:r>
        <w:rPr>
          <w:rFonts w:hint="eastAsia" w:ascii="楷体_GB2312" w:hAnsi="楷体_GB2312" w:eastAsia="楷体_GB2312" w:cs="楷体_GB2312"/>
          <w:color w:val="auto"/>
          <w:sz w:val="32"/>
          <w:szCs w:val="32"/>
          <w:lang w:val="en-US" w:eastAsia="zh-CN"/>
        </w:rPr>
        <w:t>6</w:t>
      </w:r>
      <w:r>
        <w:rPr>
          <w:rFonts w:hint="eastAsia" w:ascii="楷体_GB2312" w:hAnsi="楷体_GB2312" w:eastAsia="楷体_GB2312" w:cs="楷体_GB2312"/>
          <w:color w:val="auto"/>
          <w:sz w:val="32"/>
          <w:szCs w:val="32"/>
        </w:rPr>
        <w:t xml:space="preserve"> 预案实施</w:t>
      </w:r>
      <w:bookmarkEnd w:id="5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本预案经</w:t>
      </w:r>
      <w:r>
        <w:rPr>
          <w:rFonts w:hint="eastAsia" w:cs="仿宋_GB2312"/>
          <w:color w:val="auto"/>
          <w:sz w:val="32"/>
          <w:szCs w:val="32"/>
          <w:lang w:val="en-US" w:eastAsia="zh-CN"/>
        </w:rPr>
        <w:t>县应急管理局</w:t>
      </w:r>
      <w:r>
        <w:rPr>
          <w:rFonts w:hint="eastAsia" w:ascii="仿宋_GB2312" w:hAnsi="仿宋_GB2312" w:eastAsia="仿宋_GB2312" w:cs="仿宋_GB2312"/>
          <w:color w:val="auto"/>
          <w:sz w:val="32"/>
          <w:szCs w:val="32"/>
        </w:rPr>
        <w:t>批准，自印发之日起实施。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本预案由</w:t>
      </w:r>
      <w:r>
        <w:rPr>
          <w:rFonts w:hint="eastAsia" w:cs="仿宋_GB2312"/>
          <w:color w:val="auto"/>
          <w:sz w:val="32"/>
          <w:szCs w:val="32"/>
          <w:lang w:val="en-US" w:eastAsia="zh-CN"/>
        </w:rPr>
        <w:t>永泰县</w:t>
      </w:r>
      <w:r>
        <w:rPr>
          <w:rFonts w:hint="eastAsia" w:ascii="仿宋_GB2312" w:hAnsi="仿宋_GB2312" w:eastAsia="仿宋_GB2312" w:cs="仿宋_GB2312"/>
          <w:color w:val="auto"/>
          <w:sz w:val="32"/>
          <w:szCs w:val="32"/>
        </w:rPr>
        <w:t>应急管理局负责解释。</w:t>
      </w: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rPr>
      </w:pPr>
    </w:p>
    <w:p>
      <w:pPr>
        <w:pStyle w:val="3"/>
        <w:rPr>
          <w:rFonts w:hint="eastAsia" w:ascii="仿宋_GB2312" w:hAnsi="仿宋_GB2312" w:eastAsia="仿宋_GB2312" w:cs="仿宋_GB2312"/>
          <w:color w:val="auto"/>
        </w:rPr>
      </w:pPr>
    </w:p>
    <w:p>
      <w:pPr>
        <w:pStyle w:val="3"/>
        <w:rPr>
          <w:rFonts w:hint="eastAsia" w:ascii="仿宋_GB2312" w:hAnsi="仿宋_GB2312" w:eastAsia="仿宋_GB2312" w:cs="仿宋_GB2312"/>
          <w:color w:val="auto"/>
        </w:rPr>
      </w:pPr>
    </w:p>
    <w:p>
      <w:pPr>
        <w:pStyle w:val="3"/>
        <w:rPr>
          <w:rFonts w:hint="eastAsia" w:ascii="仿宋_GB2312" w:hAnsi="仿宋_GB2312" w:eastAsia="仿宋_GB2312" w:cs="仿宋_GB2312"/>
          <w:color w:val="auto"/>
        </w:rPr>
      </w:pPr>
    </w:p>
    <w:p>
      <w:pPr>
        <w:pStyle w:val="3"/>
        <w:rPr>
          <w:rFonts w:hint="eastAsia" w:ascii="仿宋_GB2312" w:hAnsi="仿宋_GB2312" w:eastAsia="仿宋_GB2312" w:cs="仿宋_GB2312"/>
          <w:color w:val="auto"/>
        </w:rPr>
      </w:pPr>
    </w:p>
    <w:p>
      <w:pPr>
        <w:pStyle w:val="3"/>
        <w:rPr>
          <w:rFonts w:hint="eastAsia" w:ascii="仿宋_GB2312" w:hAnsi="仿宋_GB2312" w:eastAsia="仿宋_GB2312" w:cs="仿宋_GB2312"/>
          <w:color w:val="auto"/>
        </w:rPr>
      </w:pPr>
    </w:p>
    <w:p>
      <w:pPr>
        <w:pStyle w:val="3"/>
        <w:rPr>
          <w:rFonts w:hint="eastAsia" w:ascii="仿宋_GB2312" w:hAnsi="仿宋_GB2312" w:eastAsia="仿宋_GB2312" w:cs="仿宋_GB2312"/>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0"/>
        <w:rPr>
          <w:rFonts w:hint="eastAsia" w:ascii="方正黑体简体" w:hAnsi="方正黑体简体" w:eastAsia="方正黑体简体" w:cs="方正黑体简体"/>
          <w:color w:val="auto"/>
        </w:rPr>
      </w:pPr>
      <w:bookmarkStart w:id="60" w:name="_Toc15618"/>
      <w:r>
        <w:rPr>
          <w:rFonts w:hint="eastAsia" w:ascii="方正黑体简体" w:hAnsi="方正黑体简体" w:eastAsia="方正黑体简体" w:cs="方正黑体简体"/>
          <w:color w:val="auto"/>
        </w:rPr>
        <w:t>9 附件</w:t>
      </w:r>
      <w:bookmarkEnd w:id="60"/>
      <w:r>
        <w:rPr>
          <w:rFonts w:hint="eastAsia" w:ascii="方正黑体简体" w:hAnsi="方正黑体简体" w:eastAsia="方正黑体简体" w:cs="方正黑体简体"/>
          <w:color w:val="auto"/>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0"/>
        <w:rPr>
          <w:rFonts w:hint="eastAsia" w:ascii="方正黑体简体" w:hAnsi="方正黑体简体" w:eastAsia="方正黑体简体" w:cs="方正黑体简体"/>
        </w:rPr>
      </w:pPr>
      <w:bookmarkStart w:id="61" w:name="_Toc2340"/>
      <w:bookmarkStart w:id="62" w:name="_Toc29364"/>
      <w:r>
        <w:rPr>
          <w:rFonts w:hint="eastAsia" w:ascii="方正黑体简体" w:hAnsi="方正黑体简体" w:eastAsia="方正黑体简体" w:cs="方正黑体简体"/>
        </w:rPr>
        <w:t>附件1</w:t>
      </w:r>
      <w:bookmarkEnd w:id="61"/>
      <w:bookmarkEnd w:id="62"/>
    </w:p>
    <w:p>
      <w:pPr>
        <w:adjustRightInd w:val="0"/>
        <w:snapToGrid w:val="0"/>
        <w:spacing w:line="360" w:lineRule="atLeast"/>
        <w:jc w:val="center"/>
        <w:outlineLvl w:val="0"/>
        <w:rPr>
          <w:rFonts w:hint="eastAsia" w:ascii="方正小标宋简体" w:hAnsi="微软雅黑" w:eastAsia="方正小标宋简体" w:cs="宋体"/>
          <w:color w:val="000000"/>
          <w:kern w:val="0"/>
          <w:sz w:val="44"/>
          <w:szCs w:val="44"/>
          <w:lang w:eastAsia="zh-CN"/>
        </w:rPr>
      </w:pPr>
      <w:bookmarkStart w:id="63" w:name="_Toc6028"/>
      <w:bookmarkStart w:id="64" w:name="_Toc21323"/>
      <w:r>
        <w:rPr>
          <w:rFonts w:hint="eastAsia" w:ascii="方正小标宋简体" w:hAnsi="微软雅黑" w:eastAsia="方正小标宋简体" w:cs="宋体"/>
          <w:color w:val="000000"/>
          <w:kern w:val="0"/>
          <w:sz w:val="44"/>
          <w:szCs w:val="44"/>
          <w:lang w:eastAsia="zh-CN"/>
        </w:rPr>
        <w:t>危险化学品事故、预警和响应级别</w:t>
      </w:r>
      <w:bookmarkEnd w:id="63"/>
      <w:bookmarkEnd w:id="64"/>
    </w:p>
    <w:tbl>
      <w:tblPr>
        <w:tblStyle w:val="9"/>
        <w:tblW w:w="9348" w:type="dxa"/>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5"/>
        <w:gridCol w:w="834"/>
        <w:gridCol w:w="1621"/>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5" w:type="dxa"/>
            <w:noWrap w:val="0"/>
            <w:vAlign w:val="center"/>
          </w:tcPr>
          <w:p>
            <w:pPr>
              <w:keepNext w:val="0"/>
              <w:keepLines w:val="0"/>
              <w:pageBreakBefore w:val="0"/>
              <w:kinsoku/>
              <w:wordWrap/>
              <w:overflowPunct/>
              <w:topLinePunct w:val="0"/>
              <w:autoSpaceDE/>
              <w:autoSpaceDN/>
              <w:bidi w:val="0"/>
              <w:adjustRightInd/>
              <w:snapToGrid w:val="0"/>
              <w:spacing w:line="0" w:lineRule="atLeast"/>
              <w:ind w:left="0" w:leftChars="0" w:right="0" w:rightChars="0" w:firstLine="0" w:firstLineChars="0"/>
              <w:jc w:val="center"/>
              <w:textAlignment w:val="auto"/>
              <w:outlineLvl w:val="9"/>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rPr>
              <w:t>事故及预警分级</w:t>
            </w:r>
          </w:p>
        </w:tc>
        <w:tc>
          <w:tcPr>
            <w:tcW w:w="834" w:type="dxa"/>
            <w:noWrap w:val="0"/>
            <w:vAlign w:val="center"/>
          </w:tcPr>
          <w:p>
            <w:pPr>
              <w:keepNext w:val="0"/>
              <w:keepLines w:val="0"/>
              <w:pageBreakBefore w:val="0"/>
              <w:kinsoku/>
              <w:wordWrap/>
              <w:overflowPunct/>
              <w:topLinePunct w:val="0"/>
              <w:autoSpaceDE/>
              <w:autoSpaceDN/>
              <w:bidi w:val="0"/>
              <w:adjustRightInd/>
              <w:snapToGrid w:val="0"/>
              <w:spacing w:line="0" w:lineRule="atLeast"/>
              <w:ind w:left="0" w:leftChars="0" w:right="0" w:rightChars="0" w:firstLine="0" w:firstLineChars="0"/>
              <w:jc w:val="center"/>
              <w:textAlignment w:val="auto"/>
              <w:outlineLvl w:val="9"/>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rPr>
              <w:t>响应级别</w:t>
            </w:r>
          </w:p>
        </w:tc>
        <w:tc>
          <w:tcPr>
            <w:tcW w:w="1621" w:type="dxa"/>
            <w:noWrap w:val="0"/>
            <w:vAlign w:val="center"/>
          </w:tcPr>
          <w:p>
            <w:pPr>
              <w:keepNext w:val="0"/>
              <w:keepLines w:val="0"/>
              <w:pageBreakBefore w:val="0"/>
              <w:kinsoku/>
              <w:wordWrap/>
              <w:overflowPunct/>
              <w:topLinePunct w:val="0"/>
              <w:autoSpaceDE/>
              <w:autoSpaceDN/>
              <w:bidi w:val="0"/>
              <w:adjustRightInd/>
              <w:snapToGrid w:val="0"/>
              <w:spacing w:line="0" w:lineRule="atLeast"/>
              <w:ind w:left="0" w:leftChars="0" w:right="0" w:rightChars="0" w:firstLine="0" w:firstLineChars="0"/>
              <w:jc w:val="center"/>
              <w:textAlignment w:val="auto"/>
              <w:outlineLvl w:val="9"/>
              <w:rPr>
                <w:rFonts w:hint="default"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事故造成影响</w:t>
            </w:r>
          </w:p>
        </w:tc>
        <w:tc>
          <w:tcPr>
            <w:tcW w:w="1848" w:type="dxa"/>
            <w:noWrap w:val="0"/>
            <w:vAlign w:val="center"/>
          </w:tcPr>
          <w:p>
            <w:pPr>
              <w:keepNext w:val="0"/>
              <w:keepLines w:val="0"/>
              <w:pageBreakBefore w:val="0"/>
              <w:kinsoku/>
              <w:wordWrap/>
              <w:overflowPunct/>
              <w:topLinePunct w:val="0"/>
              <w:autoSpaceDE/>
              <w:autoSpaceDN/>
              <w:bidi w:val="0"/>
              <w:adjustRightInd/>
              <w:snapToGrid w:val="0"/>
              <w:spacing w:line="0" w:lineRule="atLeast"/>
              <w:ind w:left="0" w:leftChars="0" w:right="0" w:rightChars="0" w:firstLine="0" w:firstLineChars="0"/>
              <w:jc w:val="center"/>
              <w:textAlignment w:val="auto"/>
              <w:outlineLvl w:val="9"/>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trPr>
        <w:tc>
          <w:tcPr>
            <w:tcW w:w="5045" w:type="dxa"/>
            <w:noWrap w:val="0"/>
            <w:vAlign w:val="center"/>
          </w:tcPr>
          <w:p>
            <w:pPr>
              <w:keepNext w:val="0"/>
              <w:keepLines w:val="0"/>
              <w:pageBreakBefore w:val="0"/>
              <w:widowControl/>
              <w:kinsoku/>
              <w:wordWrap/>
              <w:overflowPunct/>
              <w:topLinePunct w:val="0"/>
              <w:autoSpaceDE/>
              <w:autoSpaceDN/>
              <w:bidi w:val="0"/>
              <w:adjustRightInd/>
              <w:spacing w:line="0" w:lineRule="atLeast"/>
              <w:ind w:left="0" w:leftChars="0" w:right="0" w:rightChars="0" w:firstLine="0" w:firstLine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特别重大事故（Ⅰ级）:</w:t>
            </w:r>
          </w:p>
          <w:p>
            <w:pPr>
              <w:keepNext w:val="0"/>
              <w:keepLines w:val="0"/>
              <w:pageBreakBefore w:val="0"/>
              <w:kinsoku/>
              <w:wordWrap/>
              <w:overflowPunct/>
              <w:topLinePunct w:val="0"/>
              <w:autoSpaceDE/>
              <w:autoSpaceDN/>
              <w:bidi w:val="0"/>
              <w:adjustRightInd/>
              <w:spacing w:line="0" w:lineRule="atLeas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1、</w:t>
            </w:r>
            <w:r>
              <w:rPr>
                <w:rFonts w:hint="eastAsia" w:ascii="宋体" w:hAnsi="宋体" w:eastAsia="宋体" w:cs="宋体"/>
                <w:color w:val="auto"/>
                <w:sz w:val="24"/>
                <w:szCs w:val="24"/>
              </w:rPr>
              <w:t>造成30人以上死亡(含失踪)，或危及30人以上生命安全，或者100人以上中毒(重伤)，或者直接经济损失1亿元以上的特别重大生产安全事故；</w:t>
            </w:r>
          </w:p>
          <w:p>
            <w:pPr>
              <w:keepNext w:val="0"/>
              <w:keepLines w:val="0"/>
              <w:pageBreakBefore w:val="0"/>
              <w:kinsoku/>
              <w:wordWrap/>
              <w:overflowPunct/>
              <w:topLinePunct w:val="0"/>
              <w:autoSpaceDE/>
              <w:autoSpaceDN/>
              <w:bidi w:val="0"/>
              <w:adjustRightInd/>
              <w:spacing w:line="0" w:lineRule="atLeas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2、</w:t>
            </w:r>
            <w:r>
              <w:rPr>
                <w:rFonts w:hint="eastAsia" w:ascii="宋体" w:hAnsi="宋体" w:eastAsia="宋体" w:cs="宋体"/>
                <w:color w:val="auto"/>
                <w:sz w:val="24"/>
                <w:szCs w:val="24"/>
              </w:rPr>
              <w:t>需要紧急转移安置10万人以上的事故；</w:t>
            </w:r>
          </w:p>
          <w:p>
            <w:pPr>
              <w:keepNext w:val="0"/>
              <w:keepLines w:val="0"/>
              <w:pageBreakBefore w:val="0"/>
              <w:kinsoku/>
              <w:wordWrap/>
              <w:overflowPunct/>
              <w:topLinePunct w:val="0"/>
              <w:autoSpaceDE/>
              <w:autoSpaceDN/>
              <w:bidi w:val="0"/>
              <w:adjustRightInd/>
              <w:spacing w:line="0" w:lineRule="atLeas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超出市政府应急处置能力的生产安全事故；</w:t>
            </w:r>
          </w:p>
          <w:p>
            <w:pPr>
              <w:keepNext w:val="0"/>
              <w:keepLines w:val="0"/>
              <w:pageBreakBefore w:val="0"/>
              <w:kinsoku/>
              <w:wordWrap/>
              <w:overflowPunct/>
              <w:topLinePunct w:val="0"/>
              <w:autoSpaceDE/>
              <w:autoSpaceDN/>
              <w:bidi w:val="0"/>
              <w:adjustRightInd/>
              <w:spacing w:line="0" w:lineRule="atLeas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3、</w:t>
            </w:r>
            <w:r>
              <w:rPr>
                <w:rFonts w:hint="eastAsia" w:ascii="宋体" w:hAnsi="宋体" w:eastAsia="宋体" w:cs="宋体"/>
                <w:color w:val="auto"/>
                <w:sz w:val="24"/>
                <w:szCs w:val="24"/>
              </w:rPr>
              <w:t>跨市级行政区、跨领域(行业和部门)的事故；</w:t>
            </w:r>
          </w:p>
          <w:p>
            <w:pPr>
              <w:keepNext w:val="0"/>
              <w:keepLines w:val="0"/>
              <w:pageBreakBefore w:val="0"/>
              <w:kinsoku/>
              <w:wordWrap/>
              <w:overflowPunct/>
              <w:topLinePunct w:val="0"/>
              <w:autoSpaceDE/>
              <w:autoSpaceDN/>
              <w:bidi w:val="0"/>
              <w:adjustRightInd/>
              <w:spacing w:line="0" w:lineRule="atLeast"/>
              <w:ind w:left="0" w:leftChars="0" w:right="0" w:rightChars="0" w:firstLine="0" w:firstLineChars="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rPr>
              <w:t>4、</w:t>
            </w:r>
            <w:r>
              <w:rPr>
                <w:rFonts w:hint="eastAsia" w:ascii="宋体" w:hAnsi="宋体" w:eastAsia="宋体" w:cs="宋体"/>
                <w:color w:val="auto"/>
                <w:sz w:val="24"/>
                <w:szCs w:val="24"/>
              </w:rPr>
              <w:t>国务院认为需要国务院安委会响应的事故。</w:t>
            </w:r>
          </w:p>
        </w:tc>
        <w:tc>
          <w:tcPr>
            <w:tcW w:w="834" w:type="dxa"/>
            <w:noWrap w:val="0"/>
            <w:vAlign w:val="center"/>
          </w:tcPr>
          <w:p>
            <w:pPr>
              <w:keepNext w:val="0"/>
              <w:keepLines w:val="0"/>
              <w:pageBreakBefore w:val="0"/>
              <w:kinsoku/>
              <w:wordWrap/>
              <w:overflowPunct/>
              <w:topLinePunct w:val="0"/>
              <w:autoSpaceDE/>
              <w:autoSpaceDN/>
              <w:bidi w:val="0"/>
              <w:adjustRightInd/>
              <w:snapToGrid w:val="0"/>
              <w:spacing w:line="0" w:lineRule="atLeast"/>
              <w:ind w:left="0" w:leftChars="0" w:right="0" w:rightChars="0" w:firstLine="0" w:firstLine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特别严重</w:t>
            </w:r>
          </w:p>
          <w:p>
            <w:pPr>
              <w:keepNext w:val="0"/>
              <w:keepLines w:val="0"/>
              <w:pageBreakBefore w:val="0"/>
              <w:kinsoku/>
              <w:wordWrap/>
              <w:overflowPunct/>
              <w:topLinePunct w:val="0"/>
              <w:autoSpaceDE/>
              <w:autoSpaceDN/>
              <w:bidi w:val="0"/>
              <w:adjustRightInd/>
              <w:snapToGrid w:val="0"/>
              <w:spacing w:line="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sz w:val="24"/>
                <w:szCs w:val="24"/>
              </w:rPr>
              <w:t>Ⅰ</w:t>
            </w:r>
          </w:p>
        </w:tc>
        <w:tc>
          <w:tcPr>
            <w:tcW w:w="1621" w:type="dxa"/>
            <w:noWrap w:val="0"/>
            <w:vAlign w:val="center"/>
          </w:tcPr>
          <w:p>
            <w:pPr>
              <w:keepNext w:val="0"/>
              <w:keepLines w:val="0"/>
              <w:pageBreakBefore w:val="0"/>
              <w:kinsoku/>
              <w:wordWrap/>
              <w:overflowPunct/>
              <w:topLinePunct w:val="0"/>
              <w:autoSpaceDE/>
              <w:autoSpaceDN/>
              <w:bidi w:val="0"/>
              <w:adjustRightInd/>
              <w:snapToGrid w:val="0"/>
              <w:spacing w:line="0" w:lineRule="atLeast"/>
              <w:ind w:left="0" w:leftChars="0" w:right="0" w:rightChars="0" w:firstLine="0" w:firstLineChars="0"/>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社会影响特别重大，事故态势发展特别严重的</w:t>
            </w:r>
          </w:p>
        </w:tc>
        <w:tc>
          <w:tcPr>
            <w:tcW w:w="1848" w:type="dxa"/>
            <w:noWrap w:val="0"/>
            <w:vAlign w:val="center"/>
          </w:tcPr>
          <w:p>
            <w:pPr>
              <w:keepNext w:val="0"/>
              <w:keepLines w:val="0"/>
              <w:pageBreakBefore w:val="0"/>
              <w:kinsoku/>
              <w:wordWrap/>
              <w:overflowPunct/>
              <w:topLinePunct w:val="0"/>
              <w:autoSpaceDE/>
              <w:autoSpaceDN/>
              <w:bidi w:val="0"/>
              <w:adjustRightInd/>
              <w:snapToGrid w:val="0"/>
              <w:spacing w:line="0" w:lineRule="atLeast"/>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需要启动Ⅰ级应急响应时，先启动Ⅱ级应急响应进行先期处置。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5" w:type="dxa"/>
            <w:noWrap w:val="0"/>
            <w:vAlign w:val="center"/>
          </w:tcPr>
          <w:p>
            <w:pPr>
              <w:keepNext w:val="0"/>
              <w:keepLines w:val="0"/>
              <w:pageBreakBefore w:val="0"/>
              <w:widowControl/>
              <w:kinsoku/>
              <w:wordWrap/>
              <w:overflowPunct/>
              <w:topLinePunct w:val="0"/>
              <w:autoSpaceDE/>
              <w:autoSpaceDN/>
              <w:bidi w:val="0"/>
              <w:adjustRightInd/>
              <w:spacing w:line="0" w:lineRule="atLeast"/>
              <w:ind w:left="0" w:leftChars="0" w:right="0" w:rightChars="0" w:firstLine="0" w:firstLine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重大事故（Ⅱ级）:</w:t>
            </w:r>
          </w:p>
          <w:p>
            <w:pPr>
              <w:keepNext w:val="0"/>
              <w:keepLines w:val="0"/>
              <w:pageBreakBefore w:val="0"/>
              <w:kinsoku/>
              <w:wordWrap/>
              <w:overflowPunct/>
              <w:topLinePunct w:val="0"/>
              <w:autoSpaceDE/>
              <w:autoSpaceDN/>
              <w:bidi w:val="0"/>
              <w:adjustRightInd/>
              <w:spacing w:line="0" w:lineRule="atLeas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1、</w:t>
            </w:r>
            <w:r>
              <w:rPr>
                <w:rFonts w:hint="eastAsia" w:ascii="宋体" w:hAnsi="宋体" w:eastAsia="宋体" w:cs="宋体"/>
                <w:color w:val="auto"/>
                <w:sz w:val="24"/>
                <w:szCs w:val="24"/>
              </w:rPr>
              <w:t>造成10人以上、30人以下死亡(含失踪)，或危及10人以上、30人以下生命安全，或者50人以上、100人以下中毒(重伤)，或者直接经济损失5000万元以上、l亿元以下的生产安全事故；</w:t>
            </w:r>
          </w:p>
          <w:p>
            <w:pPr>
              <w:keepNext w:val="0"/>
              <w:keepLines w:val="0"/>
              <w:pageBreakBefore w:val="0"/>
              <w:kinsoku/>
              <w:wordWrap/>
              <w:overflowPunct/>
              <w:topLinePunct w:val="0"/>
              <w:autoSpaceDE/>
              <w:autoSpaceDN/>
              <w:bidi w:val="0"/>
              <w:adjustRightInd/>
              <w:spacing w:line="0" w:lineRule="atLeas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2、</w:t>
            </w:r>
            <w:r>
              <w:rPr>
                <w:rFonts w:hint="eastAsia" w:ascii="宋体" w:hAnsi="宋体" w:eastAsia="宋体" w:cs="宋体"/>
                <w:color w:val="auto"/>
                <w:sz w:val="24"/>
                <w:szCs w:val="24"/>
              </w:rPr>
              <w:t>超出地级以上市政府应急处置能力的事故；</w:t>
            </w:r>
          </w:p>
          <w:p>
            <w:pPr>
              <w:keepNext w:val="0"/>
              <w:keepLines w:val="0"/>
              <w:pageBreakBefore w:val="0"/>
              <w:kinsoku/>
              <w:wordWrap/>
              <w:overflowPunct/>
              <w:topLinePunct w:val="0"/>
              <w:autoSpaceDE/>
              <w:autoSpaceDN/>
              <w:bidi w:val="0"/>
              <w:adjustRightInd/>
              <w:spacing w:line="0" w:lineRule="atLeas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3、</w:t>
            </w:r>
            <w:r>
              <w:rPr>
                <w:rFonts w:hint="eastAsia" w:ascii="宋体" w:hAnsi="宋体" w:eastAsia="宋体" w:cs="宋体"/>
                <w:color w:val="auto"/>
                <w:sz w:val="24"/>
                <w:szCs w:val="24"/>
              </w:rPr>
              <w:t>跨地级以上市行政区的事故；</w:t>
            </w:r>
          </w:p>
          <w:p>
            <w:pPr>
              <w:keepNext w:val="0"/>
              <w:keepLines w:val="0"/>
              <w:pageBreakBefore w:val="0"/>
              <w:kinsoku/>
              <w:wordWrap/>
              <w:overflowPunct/>
              <w:topLinePunct w:val="0"/>
              <w:autoSpaceDE/>
              <w:autoSpaceDN/>
              <w:bidi w:val="0"/>
              <w:adjustRightInd/>
              <w:spacing w:line="0" w:lineRule="atLeast"/>
              <w:ind w:left="0" w:leftChars="0" w:right="0" w:rightChars="0" w:firstLine="0" w:firstLineChars="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rPr>
              <w:t>4、</w:t>
            </w:r>
            <w:r>
              <w:rPr>
                <w:rFonts w:hint="eastAsia" w:ascii="宋体" w:hAnsi="宋体" w:eastAsia="宋体" w:cs="宋体"/>
                <w:color w:val="auto"/>
                <w:sz w:val="24"/>
                <w:szCs w:val="24"/>
              </w:rPr>
              <w:t>市政府认为有需要响应的事故。</w:t>
            </w:r>
          </w:p>
        </w:tc>
        <w:tc>
          <w:tcPr>
            <w:tcW w:w="834" w:type="dxa"/>
            <w:noWrap w:val="0"/>
            <w:vAlign w:val="center"/>
          </w:tcPr>
          <w:p>
            <w:pPr>
              <w:keepNext w:val="0"/>
              <w:keepLines w:val="0"/>
              <w:pageBreakBefore w:val="0"/>
              <w:kinsoku/>
              <w:wordWrap/>
              <w:overflowPunct/>
              <w:topLinePunct w:val="0"/>
              <w:autoSpaceDE/>
              <w:autoSpaceDN/>
              <w:bidi w:val="0"/>
              <w:adjustRightInd/>
              <w:snapToGrid w:val="0"/>
              <w:spacing w:line="0" w:lineRule="atLeast"/>
              <w:ind w:left="0" w:leftChars="0" w:right="0" w:rightChars="0" w:firstLine="0" w:firstLine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严重</w:t>
            </w:r>
          </w:p>
          <w:p>
            <w:pPr>
              <w:keepNext w:val="0"/>
              <w:keepLines w:val="0"/>
              <w:pageBreakBefore w:val="0"/>
              <w:kinsoku/>
              <w:wordWrap/>
              <w:overflowPunct/>
              <w:topLinePunct w:val="0"/>
              <w:autoSpaceDE/>
              <w:autoSpaceDN/>
              <w:bidi w:val="0"/>
              <w:adjustRightInd/>
              <w:snapToGrid w:val="0"/>
              <w:spacing w:line="0" w:lineRule="atLeast"/>
              <w:ind w:left="0" w:leftChars="0" w:right="0" w:rightChars="0" w:firstLine="0" w:firstLineChars="0"/>
              <w:jc w:val="center"/>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Ⅱ</w:t>
            </w:r>
          </w:p>
        </w:tc>
        <w:tc>
          <w:tcPr>
            <w:tcW w:w="1621" w:type="dxa"/>
            <w:noWrap w:val="0"/>
            <w:vAlign w:val="center"/>
          </w:tcPr>
          <w:p>
            <w:pPr>
              <w:keepNext w:val="0"/>
              <w:keepLines w:val="0"/>
              <w:pageBreakBefore w:val="0"/>
              <w:kinsoku/>
              <w:wordWrap/>
              <w:overflowPunct/>
              <w:topLinePunct w:val="0"/>
              <w:autoSpaceDE/>
              <w:autoSpaceDN/>
              <w:bidi w:val="0"/>
              <w:adjustRightInd/>
              <w:snapToGrid w:val="0"/>
              <w:spacing w:line="0" w:lineRule="atLeast"/>
              <w:ind w:left="0" w:leftChars="0" w:right="0" w:rightChars="0" w:firstLine="0"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重大社会影响</w:t>
            </w:r>
          </w:p>
        </w:tc>
        <w:tc>
          <w:tcPr>
            <w:tcW w:w="1848" w:type="dxa"/>
            <w:noWrap w:val="0"/>
            <w:vAlign w:val="center"/>
          </w:tcPr>
          <w:p>
            <w:pPr>
              <w:keepNext w:val="0"/>
              <w:keepLines w:val="0"/>
              <w:pageBreakBefore w:val="0"/>
              <w:kinsoku/>
              <w:wordWrap/>
              <w:overflowPunct/>
              <w:topLinePunct w:val="0"/>
              <w:autoSpaceDE/>
              <w:autoSpaceDN/>
              <w:bidi w:val="0"/>
              <w:adjustRightInd/>
              <w:snapToGrid w:val="0"/>
              <w:spacing w:line="0" w:lineRule="atLeast"/>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由</w:t>
            </w:r>
            <w:r>
              <w:rPr>
                <w:rFonts w:hint="eastAsia" w:ascii="宋体" w:hAnsi="宋体" w:eastAsia="宋体" w:cs="宋体"/>
                <w:color w:val="auto"/>
                <w:sz w:val="24"/>
                <w:szCs w:val="24"/>
                <w:lang w:eastAsia="zh-CN"/>
              </w:rPr>
              <w:t>省</w:t>
            </w:r>
            <w:r>
              <w:rPr>
                <w:rFonts w:hint="eastAsia" w:ascii="宋体" w:hAnsi="宋体" w:eastAsia="宋体" w:cs="宋体"/>
                <w:color w:val="auto"/>
                <w:sz w:val="24"/>
                <w:szCs w:val="24"/>
              </w:rPr>
              <w:t>政府启动。市</w:t>
            </w:r>
            <w:r>
              <w:rPr>
                <w:rFonts w:hint="eastAsia" w:ascii="宋体" w:hAnsi="宋体" w:eastAsia="宋体" w:cs="宋体"/>
                <w:color w:val="auto"/>
                <w:sz w:val="24"/>
                <w:szCs w:val="24"/>
                <w:lang w:eastAsia="zh-CN"/>
              </w:rPr>
              <w:t>政府</w:t>
            </w:r>
            <w:r>
              <w:rPr>
                <w:rFonts w:hint="eastAsia" w:ascii="宋体" w:hAnsi="宋体" w:eastAsia="宋体" w:cs="宋体"/>
                <w:color w:val="auto"/>
                <w:sz w:val="24"/>
                <w:szCs w:val="24"/>
              </w:rPr>
              <w:t>启动Ⅲ级响应时，</w:t>
            </w:r>
            <w:r>
              <w:rPr>
                <w:rFonts w:hint="eastAsia" w:ascii="宋体" w:hAnsi="宋体" w:eastAsia="宋体" w:cs="宋体"/>
                <w:color w:val="auto"/>
                <w:sz w:val="24"/>
                <w:szCs w:val="24"/>
                <w:lang w:eastAsia="zh-CN"/>
              </w:rPr>
              <w:t>省</w:t>
            </w:r>
            <w:r>
              <w:rPr>
                <w:rFonts w:hint="eastAsia" w:ascii="宋体" w:hAnsi="宋体" w:eastAsia="宋体" w:cs="宋体"/>
                <w:color w:val="auto"/>
                <w:sz w:val="24"/>
                <w:szCs w:val="24"/>
              </w:rPr>
              <w:t>领导小组</w:t>
            </w:r>
            <w:r>
              <w:rPr>
                <w:rFonts w:hint="eastAsia" w:ascii="宋体" w:hAnsi="宋体" w:eastAsia="宋体" w:cs="宋体"/>
                <w:color w:val="auto"/>
                <w:sz w:val="24"/>
                <w:szCs w:val="24"/>
                <w:lang w:eastAsia="zh-CN"/>
              </w:rPr>
              <w:t>办公室</w:t>
            </w:r>
            <w:r>
              <w:rPr>
                <w:rFonts w:hint="eastAsia" w:ascii="宋体" w:hAnsi="宋体" w:eastAsia="宋体" w:cs="宋体"/>
                <w:color w:val="auto"/>
                <w:sz w:val="24"/>
                <w:szCs w:val="24"/>
              </w:rPr>
              <w:t>视情进入预警状态。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5" w:type="dxa"/>
            <w:noWrap w:val="0"/>
            <w:vAlign w:val="center"/>
          </w:tcPr>
          <w:p>
            <w:pPr>
              <w:keepNext w:val="0"/>
              <w:keepLines w:val="0"/>
              <w:pageBreakBefore w:val="0"/>
              <w:widowControl/>
              <w:kinsoku/>
              <w:wordWrap/>
              <w:overflowPunct/>
              <w:topLinePunct w:val="0"/>
              <w:autoSpaceDE/>
              <w:autoSpaceDN/>
              <w:bidi w:val="0"/>
              <w:adjustRightInd/>
              <w:spacing w:line="0" w:lineRule="atLeast"/>
              <w:ind w:left="0" w:leftChars="0" w:right="0" w:rightChars="0" w:firstLine="0" w:firstLine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较大事故（Ⅲ级）:</w:t>
            </w:r>
          </w:p>
          <w:p>
            <w:pPr>
              <w:keepNext w:val="0"/>
              <w:keepLines w:val="0"/>
              <w:pageBreakBefore w:val="0"/>
              <w:kinsoku/>
              <w:wordWrap/>
              <w:overflowPunct/>
              <w:topLinePunct w:val="0"/>
              <w:autoSpaceDE/>
              <w:autoSpaceDN/>
              <w:bidi w:val="0"/>
              <w:adjustRightInd/>
              <w:spacing w:line="0" w:lineRule="atLeas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1、</w:t>
            </w:r>
            <w:r>
              <w:rPr>
                <w:rFonts w:hint="eastAsia" w:ascii="宋体" w:hAnsi="宋体" w:eastAsia="宋体" w:cs="宋体"/>
                <w:color w:val="auto"/>
                <w:sz w:val="24"/>
                <w:szCs w:val="24"/>
              </w:rPr>
              <w:t>造成3人以上、10人以下死亡(含失踪)，或危及3人以上、10人以下生命安全，或者10人以上、50人以下中毒(重伤)，或者直接经济损失5000万元以下的生产安全事故；</w:t>
            </w:r>
          </w:p>
          <w:p>
            <w:pPr>
              <w:keepNext w:val="0"/>
              <w:keepLines w:val="0"/>
              <w:pageBreakBefore w:val="0"/>
              <w:kinsoku/>
              <w:wordWrap/>
              <w:overflowPunct/>
              <w:topLinePunct w:val="0"/>
              <w:autoSpaceDE/>
              <w:autoSpaceDN/>
              <w:bidi w:val="0"/>
              <w:adjustRightInd/>
              <w:spacing w:line="0" w:lineRule="atLeas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2、</w:t>
            </w:r>
            <w:r>
              <w:rPr>
                <w:rFonts w:hint="eastAsia" w:ascii="宋体" w:hAnsi="宋体" w:eastAsia="宋体" w:cs="宋体"/>
                <w:color w:val="auto"/>
                <w:sz w:val="24"/>
                <w:szCs w:val="24"/>
              </w:rPr>
              <w:t>超出县级政府应急处置能力的生产安全事故；</w:t>
            </w:r>
          </w:p>
          <w:p>
            <w:pPr>
              <w:keepNext w:val="0"/>
              <w:keepLines w:val="0"/>
              <w:pageBreakBefore w:val="0"/>
              <w:kinsoku/>
              <w:wordWrap/>
              <w:overflowPunct/>
              <w:topLinePunct w:val="0"/>
              <w:autoSpaceDE/>
              <w:autoSpaceDN/>
              <w:bidi w:val="0"/>
              <w:adjustRightInd/>
              <w:spacing w:line="0" w:lineRule="atLeas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3、</w:t>
            </w:r>
            <w:r>
              <w:rPr>
                <w:rFonts w:hint="eastAsia" w:ascii="宋体" w:hAnsi="宋体" w:eastAsia="宋体" w:cs="宋体"/>
                <w:color w:val="auto"/>
                <w:sz w:val="24"/>
                <w:szCs w:val="24"/>
              </w:rPr>
              <w:t>发生跨县级行政区生产安全事故；</w:t>
            </w:r>
          </w:p>
          <w:p>
            <w:pPr>
              <w:keepNext w:val="0"/>
              <w:keepLines w:val="0"/>
              <w:pageBreakBefore w:val="0"/>
              <w:kinsoku/>
              <w:wordWrap/>
              <w:overflowPunct/>
              <w:topLinePunct w:val="0"/>
              <w:autoSpaceDE/>
              <w:autoSpaceDN/>
              <w:bidi w:val="0"/>
              <w:adjustRightInd/>
              <w:spacing w:line="0" w:lineRule="atLeast"/>
              <w:ind w:left="0" w:leftChars="0" w:right="0" w:rightChars="0" w:firstLine="0" w:firstLineChars="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rPr>
              <w:t>4、</w:t>
            </w:r>
            <w:r>
              <w:rPr>
                <w:rFonts w:hint="eastAsia" w:ascii="宋体" w:hAnsi="宋体" w:eastAsia="宋体" w:cs="宋体"/>
                <w:color w:val="auto"/>
                <w:sz w:val="24"/>
                <w:szCs w:val="24"/>
              </w:rPr>
              <w:t>设区市以上政府认为有需要响应的事故。</w:t>
            </w:r>
          </w:p>
        </w:tc>
        <w:tc>
          <w:tcPr>
            <w:tcW w:w="834" w:type="dxa"/>
            <w:noWrap w:val="0"/>
            <w:vAlign w:val="center"/>
          </w:tcPr>
          <w:p>
            <w:pPr>
              <w:keepNext w:val="0"/>
              <w:keepLines w:val="0"/>
              <w:pageBreakBefore w:val="0"/>
              <w:kinsoku/>
              <w:wordWrap/>
              <w:overflowPunct/>
              <w:topLinePunct w:val="0"/>
              <w:autoSpaceDE/>
              <w:autoSpaceDN/>
              <w:bidi w:val="0"/>
              <w:adjustRightInd/>
              <w:snapToGrid w:val="0"/>
              <w:spacing w:line="0" w:lineRule="atLeast"/>
              <w:ind w:left="0" w:leftChars="0" w:right="0" w:rightChars="0" w:firstLine="0" w:firstLine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较重</w:t>
            </w:r>
          </w:p>
          <w:p>
            <w:pPr>
              <w:keepNext w:val="0"/>
              <w:keepLines w:val="0"/>
              <w:pageBreakBefore w:val="0"/>
              <w:kinsoku/>
              <w:wordWrap/>
              <w:overflowPunct/>
              <w:topLinePunct w:val="0"/>
              <w:autoSpaceDE/>
              <w:autoSpaceDN/>
              <w:bidi w:val="0"/>
              <w:adjustRightInd/>
              <w:snapToGrid w:val="0"/>
              <w:spacing w:line="0" w:lineRule="atLeast"/>
              <w:ind w:left="0" w:leftChars="0" w:right="0" w:rightChars="0" w:firstLine="0" w:firstLineChars="0"/>
              <w:jc w:val="center"/>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Ⅲ</w:t>
            </w:r>
          </w:p>
        </w:tc>
        <w:tc>
          <w:tcPr>
            <w:tcW w:w="1621" w:type="dxa"/>
            <w:noWrap w:val="0"/>
            <w:vAlign w:val="center"/>
          </w:tcPr>
          <w:p>
            <w:pPr>
              <w:keepNext w:val="0"/>
              <w:keepLines w:val="0"/>
              <w:pageBreakBefore w:val="0"/>
              <w:widowControl/>
              <w:kinsoku/>
              <w:wordWrap/>
              <w:overflowPunct/>
              <w:topLinePunct w:val="0"/>
              <w:autoSpaceDE/>
              <w:autoSpaceDN/>
              <w:bidi w:val="0"/>
              <w:adjustRightInd/>
              <w:spacing w:line="0" w:lineRule="atLeast"/>
              <w:ind w:left="0" w:leftChars="0" w:right="0" w:rightChars="0" w:firstLine="0"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较大社会影响</w:t>
            </w:r>
          </w:p>
        </w:tc>
        <w:tc>
          <w:tcPr>
            <w:tcW w:w="1848" w:type="dxa"/>
            <w:noWrap w:val="0"/>
            <w:vAlign w:val="center"/>
          </w:tcPr>
          <w:p>
            <w:pPr>
              <w:keepNext w:val="0"/>
              <w:keepLines w:val="0"/>
              <w:pageBreakBefore w:val="0"/>
              <w:widowControl/>
              <w:kinsoku/>
              <w:wordWrap/>
              <w:overflowPunct/>
              <w:topLinePunct w:val="0"/>
              <w:autoSpaceDE/>
              <w:autoSpaceDN/>
              <w:bidi w:val="0"/>
              <w:adjustRightInd/>
              <w:spacing w:line="0" w:lineRule="atLeast"/>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由市</w:t>
            </w:r>
            <w:r>
              <w:rPr>
                <w:rFonts w:hint="eastAsia" w:ascii="宋体" w:hAnsi="宋体" w:eastAsia="宋体" w:cs="宋体"/>
                <w:color w:val="auto"/>
                <w:sz w:val="24"/>
                <w:szCs w:val="24"/>
                <w:lang w:eastAsia="zh-CN"/>
              </w:rPr>
              <w:t>政府</w:t>
            </w:r>
            <w:r>
              <w:rPr>
                <w:rFonts w:hint="eastAsia" w:ascii="宋体" w:hAnsi="宋体" w:eastAsia="宋体" w:cs="宋体"/>
                <w:color w:val="auto"/>
                <w:sz w:val="24"/>
                <w:szCs w:val="24"/>
              </w:rPr>
              <w:t>启动。县级</w:t>
            </w:r>
            <w:r>
              <w:rPr>
                <w:rFonts w:hint="eastAsia" w:ascii="宋体" w:hAnsi="宋体" w:eastAsia="宋体" w:cs="宋体"/>
                <w:color w:val="auto"/>
                <w:sz w:val="24"/>
                <w:szCs w:val="24"/>
                <w:lang w:eastAsia="zh-CN"/>
              </w:rPr>
              <w:t>政府</w:t>
            </w:r>
            <w:r>
              <w:rPr>
                <w:rFonts w:hint="eastAsia" w:ascii="宋体" w:hAnsi="宋体" w:eastAsia="宋体" w:cs="宋体"/>
                <w:color w:val="auto"/>
                <w:sz w:val="24"/>
                <w:szCs w:val="24"/>
              </w:rPr>
              <w:t>启动Ⅳ响应时，市</w:t>
            </w:r>
            <w:r>
              <w:rPr>
                <w:rFonts w:hint="eastAsia" w:ascii="宋体" w:hAnsi="宋体" w:eastAsia="宋体" w:cs="宋体"/>
                <w:color w:val="auto"/>
                <w:sz w:val="24"/>
                <w:szCs w:val="24"/>
                <w:lang w:eastAsia="zh-CN"/>
              </w:rPr>
              <w:t>政府</w:t>
            </w:r>
            <w:r>
              <w:rPr>
                <w:rFonts w:hint="eastAsia" w:ascii="宋体" w:hAnsi="宋体" w:eastAsia="宋体" w:cs="宋体"/>
                <w:color w:val="auto"/>
                <w:sz w:val="24"/>
                <w:szCs w:val="24"/>
              </w:rPr>
              <w:t>进入预警状态。县危险化学品事故应急指挥部</w:t>
            </w:r>
            <w:r>
              <w:rPr>
                <w:rFonts w:hint="eastAsia" w:ascii="宋体" w:hAnsi="宋体" w:eastAsia="宋体" w:cs="宋体"/>
                <w:color w:val="auto"/>
                <w:sz w:val="24"/>
                <w:szCs w:val="24"/>
                <w:lang w:val="en-US" w:eastAsia="zh-CN"/>
              </w:rPr>
              <w:t>成立现场应急指挥部</w:t>
            </w:r>
            <w:r>
              <w:rPr>
                <w:rFonts w:hint="eastAsia" w:ascii="宋体" w:hAnsi="宋体" w:eastAsia="宋体" w:cs="宋体"/>
                <w:color w:val="auto"/>
                <w:sz w:val="24"/>
                <w:szCs w:val="24"/>
              </w:rPr>
              <w:t>到现场</w:t>
            </w:r>
            <w:r>
              <w:rPr>
                <w:rFonts w:hint="eastAsia" w:ascii="宋体" w:hAnsi="宋体" w:eastAsia="宋体" w:cs="宋体"/>
                <w:color w:val="auto"/>
                <w:sz w:val="24"/>
                <w:szCs w:val="24"/>
                <w:lang w:val="en-US" w:eastAsia="zh-CN"/>
              </w:rPr>
              <w:t>做好先期应急处置工作</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5" w:type="dxa"/>
            <w:noWrap w:val="0"/>
            <w:vAlign w:val="center"/>
          </w:tcPr>
          <w:p>
            <w:pPr>
              <w:keepNext w:val="0"/>
              <w:keepLines w:val="0"/>
              <w:pageBreakBefore w:val="0"/>
              <w:widowControl/>
              <w:kinsoku/>
              <w:wordWrap/>
              <w:overflowPunct/>
              <w:topLinePunct w:val="0"/>
              <w:autoSpaceDE/>
              <w:autoSpaceDN/>
              <w:bidi w:val="0"/>
              <w:adjustRightInd/>
              <w:spacing w:line="0" w:lineRule="atLeast"/>
              <w:ind w:left="0" w:leftChars="0" w:right="0" w:rightChars="0" w:firstLine="0" w:firstLine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一般事故（Ⅳ级）:</w:t>
            </w:r>
          </w:p>
          <w:p>
            <w:pPr>
              <w:keepNext w:val="0"/>
              <w:keepLines w:val="0"/>
              <w:pageBreakBefore w:val="0"/>
              <w:widowControl/>
              <w:kinsoku/>
              <w:wordWrap/>
              <w:overflowPunct/>
              <w:topLinePunct w:val="0"/>
              <w:autoSpaceDE/>
              <w:autoSpaceDN/>
              <w:bidi w:val="0"/>
              <w:adjustRightInd/>
              <w:spacing w:line="0" w:lineRule="atLeast"/>
              <w:ind w:left="0" w:leftChars="0" w:right="0" w:rightChars="0" w:firstLine="0"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造成3人以下死亡，或者10人以下重伤，或者1000万元以下直接经济损失的事故。</w:t>
            </w:r>
          </w:p>
        </w:tc>
        <w:tc>
          <w:tcPr>
            <w:tcW w:w="834" w:type="dxa"/>
            <w:noWrap w:val="0"/>
            <w:vAlign w:val="center"/>
          </w:tcPr>
          <w:p>
            <w:pPr>
              <w:keepNext w:val="0"/>
              <w:keepLines w:val="0"/>
              <w:pageBreakBefore w:val="0"/>
              <w:kinsoku/>
              <w:wordWrap/>
              <w:overflowPunct/>
              <w:topLinePunct w:val="0"/>
              <w:autoSpaceDE/>
              <w:autoSpaceDN/>
              <w:bidi w:val="0"/>
              <w:adjustRightInd/>
              <w:snapToGrid w:val="0"/>
              <w:spacing w:line="0" w:lineRule="atLeast"/>
              <w:ind w:left="0" w:leftChars="0" w:right="0" w:rightChars="0" w:firstLine="0" w:firstLine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一般</w:t>
            </w:r>
          </w:p>
          <w:p>
            <w:pPr>
              <w:keepNext w:val="0"/>
              <w:keepLines w:val="0"/>
              <w:pageBreakBefore w:val="0"/>
              <w:kinsoku/>
              <w:wordWrap/>
              <w:overflowPunct/>
              <w:topLinePunct w:val="0"/>
              <w:autoSpaceDE/>
              <w:autoSpaceDN/>
              <w:bidi w:val="0"/>
              <w:adjustRightInd/>
              <w:snapToGrid w:val="0"/>
              <w:spacing w:line="0" w:lineRule="atLeast"/>
              <w:ind w:left="0" w:leftChars="0" w:right="0" w:rightChars="0" w:firstLine="0" w:firstLineChars="0"/>
              <w:jc w:val="center"/>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Ⅳ</w:t>
            </w:r>
          </w:p>
        </w:tc>
        <w:tc>
          <w:tcPr>
            <w:tcW w:w="1621" w:type="dxa"/>
            <w:noWrap w:val="0"/>
            <w:vAlign w:val="center"/>
          </w:tcPr>
          <w:p>
            <w:pPr>
              <w:keepNext w:val="0"/>
              <w:keepLines w:val="0"/>
              <w:pageBreakBefore w:val="0"/>
              <w:widowControl/>
              <w:kinsoku/>
              <w:wordWrap/>
              <w:overflowPunct/>
              <w:topLinePunct w:val="0"/>
              <w:autoSpaceDE/>
              <w:autoSpaceDN/>
              <w:bidi w:val="0"/>
              <w:adjustRightInd/>
              <w:spacing w:line="0" w:lineRule="atLeast"/>
              <w:ind w:left="0" w:leftChars="0" w:right="0" w:rightChars="0" w:firstLine="0" w:firstLineChars="0"/>
              <w:textAlignment w:val="auto"/>
              <w:outlineLvl w:val="9"/>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一定社会影响</w:t>
            </w:r>
          </w:p>
        </w:tc>
        <w:tc>
          <w:tcPr>
            <w:tcW w:w="1848" w:type="dxa"/>
            <w:noWrap w:val="0"/>
            <w:vAlign w:val="center"/>
          </w:tcPr>
          <w:p>
            <w:pPr>
              <w:keepNext w:val="0"/>
              <w:keepLines w:val="0"/>
              <w:pageBreakBefore w:val="0"/>
              <w:widowControl/>
              <w:kinsoku/>
              <w:wordWrap/>
              <w:overflowPunct/>
              <w:topLinePunct w:val="0"/>
              <w:autoSpaceDE/>
              <w:autoSpaceDN/>
              <w:bidi w:val="0"/>
              <w:adjustRightInd/>
              <w:spacing w:line="0" w:lineRule="atLeast"/>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由县</w:t>
            </w:r>
            <w:r>
              <w:rPr>
                <w:rFonts w:hint="eastAsia" w:ascii="宋体" w:hAnsi="宋体" w:eastAsia="宋体" w:cs="宋体"/>
                <w:color w:val="auto"/>
                <w:sz w:val="24"/>
                <w:szCs w:val="24"/>
                <w:lang w:eastAsia="zh-CN"/>
              </w:rPr>
              <w:t>级</w:t>
            </w:r>
            <w:r>
              <w:rPr>
                <w:rFonts w:hint="eastAsia" w:ascii="宋体" w:hAnsi="宋体" w:eastAsia="宋体" w:cs="宋体"/>
                <w:color w:val="auto"/>
                <w:sz w:val="24"/>
                <w:szCs w:val="24"/>
              </w:rPr>
              <w:t>政府启动。市</w:t>
            </w:r>
            <w:r>
              <w:rPr>
                <w:rFonts w:hint="eastAsia" w:ascii="宋体" w:hAnsi="宋体" w:eastAsia="宋体" w:cs="宋体"/>
                <w:color w:val="auto"/>
                <w:sz w:val="24"/>
                <w:szCs w:val="24"/>
                <w:lang w:eastAsia="zh-CN"/>
              </w:rPr>
              <w:t>政府</w:t>
            </w:r>
            <w:r>
              <w:rPr>
                <w:rFonts w:hint="eastAsia" w:ascii="宋体" w:hAnsi="宋体" w:eastAsia="宋体" w:cs="宋体"/>
                <w:color w:val="auto"/>
                <w:sz w:val="24"/>
                <w:szCs w:val="24"/>
              </w:rPr>
              <w:t>进入预警状态。</w:t>
            </w:r>
            <w:r>
              <w:rPr>
                <w:rFonts w:hint="eastAsia" w:ascii="宋体" w:hAnsi="宋体" w:eastAsia="宋体" w:cs="宋体"/>
                <w:color w:val="auto"/>
                <w:sz w:val="24"/>
                <w:szCs w:val="24"/>
                <w:lang w:val="en-US" w:eastAsia="zh-CN"/>
              </w:rPr>
              <w:t>事发地乡镇做好先期应急处置工作。</w:t>
            </w:r>
          </w:p>
        </w:tc>
      </w:tr>
    </w:tbl>
    <w:p>
      <w:pPr>
        <w:keepNext w:val="0"/>
        <w:keepLines w:val="0"/>
        <w:pageBreakBefore w:val="0"/>
        <w:widowControl/>
        <w:kinsoku/>
        <w:wordWrap/>
        <w:overflowPunct/>
        <w:topLinePunct w:val="0"/>
        <w:autoSpaceDE/>
        <w:autoSpaceDN/>
        <w:bidi w:val="0"/>
        <w:adjustRightInd/>
        <w:spacing w:line="0" w:lineRule="atLeast"/>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注1：表中所列数据以上含本数，以下不含本数。</w:t>
      </w:r>
    </w:p>
    <w:p>
      <w:pPr>
        <w:keepNext w:val="0"/>
        <w:keepLines w:val="0"/>
        <w:pageBreakBefore w:val="0"/>
        <w:widowControl/>
        <w:kinsoku/>
        <w:wordWrap/>
        <w:overflowPunct/>
        <w:topLinePunct w:val="0"/>
        <w:autoSpaceDE/>
        <w:autoSpaceDN/>
        <w:bidi w:val="0"/>
        <w:adjustRightInd/>
        <w:spacing w:line="0" w:lineRule="atLeast"/>
        <w:ind w:left="0" w:leftChars="0" w:right="0" w:rightChars="0" w:firstLine="0" w:firstLineChars="0"/>
        <w:textAlignment w:val="auto"/>
        <w:outlineLvl w:val="9"/>
        <w:rPr>
          <w:rFonts w:hint="eastAsia" w:ascii="宋体" w:hAnsi="宋体" w:eastAsia="宋体" w:cs="宋体"/>
          <w:color w:val="auto"/>
          <w:sz w:val="24"/>
          <w:szCs w:val="24"/>
        </w:rPr>
      </w:pPr>
      <w:bookmarkStart w:id="65" w:name="_Toc38323440"/>
      <w:r>
        <w:rPr>
          <w:rFonts w:hint="eastAsia" w:ascii="宋体" w:hAnsi="宋体" w:eastAsia="宋体" w:cs="宋体"/>
          <w:color w:val="auto"/>
          <w:sz w:val="24"/>
          <w:szCs w:val="24"/>
        </w:rPr>
        <w:t>注2：表中事故后果对于险情为可能造成的后果。</w:t>
      </w:r>
      <w:bookmarkEnd w:id="65"/>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0"/>
        <w:rPr>
          <w:rFonts w:hint="eastAsia" w:ascii="方正黑体简体" w:hAnsi="方正黑体简体" w:eastAsia="方正黑体简体" w:cs="方正黑体简体"/>
        </w:rPr>
      </w:pPr>
      <w:bookmarkStart w:id="66" w:name="_Toc18569"/>
      <w:bookmarkStart w:id="67" w:name="_Toc21155"/>
      <w:bookmarkStart w:id="68" w:name="_Toc7850"/>
      <w:bookmarkStart w:id="69" w:name="_Toc22791"/>
      <w:bookmarkStart w:id="70" w:name="_Toc9318"/>
      <w:r>
        <w:rPr>
          <w:rFonts w:hint="eastAsia" w:ascii="方正黑体简体" w:hAnsi="方正黑体简体" w:eastAsia="方正黑体简体" w:cs="方正黑体简体"/>
        </w:rPr>
        <w:t>附件2</w:t>
      </w:r>
      <w:bookmarkEnd w:id="66"/>
      <w:bookmarkEnd w:id="67"/>
      <w:bookmarkEnd w:id="68"/>
      <w:bookmarkEnd w:id="69"/>
      <w:bookmarkEnd w:id="70"/>
    </w:p>
    <w:p>
      <w:pPr>
        <w:adjustRightInd w:val="0"/>
        <w:snapToGrid w:val="0"/>
        <w:spacing w:line="360" w:lineRule="atLeast"/>
        <w:jc w:val="center"/>
        <w:rPr>
          <w:rFonts w:hint="eastAsia" w:ascii="方正小标宋简体" w:hAnsi="微软雅黑" w:eastAsia="方正小标宋简体" w:cs="宋体"/>
          <w:color w:val="000000"/>
          <w:kern w:val="0"/>
          <w:sz w:val="44"/>
          <w:szCs w:val="44"/>
          <w:lang w:eastAsia="zh-CN"/>
        </w:rPr>
      </w:pPr>
      <w:r>
        <w:rPr>
          <w:rFonts w:hint="eastAsia" w:ascii="方正小标宋简体" w:hAnsi="微软雅黑" w:eastAsia="方正小标宋简体" w:cs="宋体"/>
          <w:color w:val="000000"/>
          <w:kern w:val="0"/>
          <w:sz w:val="44"/>
          <w:szCs w:val="44"/>
          <w:lang w:eastAsia="zh-CN"/>
        </w:rPr>
        <w:t>事故应急响应流程图</w:t>
      </w:r>
    </w:p>
    <w:p>
      <w:pPr>
        <w:ind w:left="0" w:leftChars="0" w:right="-76" w:rightChars="-36" w:firstLine="0" w:firstLineChars="0"/>
        <w:jc w:val="center"/>
        <w:rPr>
          <w:rFonts w:ascii="仿宋" w:hAnsi="仿宋" w:eastAsia="仿宋" w:cs="Times New Roman"/>
          <w:color w:val="auto"/>
          <w:sz w:val="32"/>
          <w:szCs w:val="32"/>
        </w:rPr>
      </w:pPr>
    </w:p>
    <w:p>
      <w:pPr>
        <w:rPr>
          <w:rFonts w:hint="eastAsia" w:ascii="方正黑体简体" w:hAnsi="方正黑体简体" w:eastAsia="方正黑体简体" w:cs="方正黑体简体"/>
        </w:rPr>
      </w:pPr>
      <w:bookmarkStart w:id="71" w:name="_Toc427164790"/>
      <w:bookmarkEnd w:id="71"/>
      <w:r>
        <w:drawing>
          <wp:inline distT="0" distB="0" distL="114300" distR="114300">
            <wp:extent cx="5270500" cy="6311265"/>
            <wp:effectExtent l="0" t="0" r="635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0500" cy="6311265"/>
                    </a:xfrm>
                    <a:prstGeom prst="rect">
                      <a:avLst/>
                    </a:prstGeom>
                    <a:noFill/>
                    <a:ln>
                      <a:noFill/>
                    </a:ln>
                  </pic:spPr>
                </pic:pic>
              </a:graphicData>
            </a:graphic>
          </wp:inline>
        </w:drawing>
      </w:r>
      <w:r>
        <w:rPr>
          <w:rFonts w:ascii="方正黑体简体" w:hAnsi="方正黑体简体" w:cs="Courier New"/>
          <w:color w:val="auto"/>
          <w:sz w:val="32"/>
          <w:szCs w:val="32"/>
        </w:rPr>
        <w:br w:type="page"/>
      </w:r>
      <w:bookmarkStart w:id="72" w:name="_Toc10265"/>
      <w:bookmarkStart w:id="73" w:name="_Toc31466"/>
      <w:bookmarkStart w:id="74" w:name="_Toc28207"/>
      <w:r>
        <w:rPr>
          <w:rFonts w:hint="eastAsia" w:ascii="方正黑体简体" w:hAnsi="方正黑体简体" w:eastAsia="方正黑体简体" w:cs="方正黑体简体"/>
        </w:rPr>
        <w:t>附件</w:t>
      </w:r>
      <w:bookmarkEnd w:id="72"/>
      <w:r>
        <w:rPr>
          <w:rFonts w:hint="eastAsia" w:ascii="方正黑体简体" w:hAnsi="方正黑体简体" w:eastAsia="方正黑体简体" w:cs="方正黑体简体"/>
          <w:lang w:val="en-US" w:eastAsia="zh-CN"/>
        </w:rPr>
        <w:t>3</w:t>
      </w:r>
      <w:bookmarkEnd w:id="73"/>
      <w:bookmarkEnd w:id="74"/>
    </w:p>
    <w:p>
      <w:pPr>
        <w:adjustRightInd w:val="0"/>
        <w:snapToGrid w:val="0"/>
        <w:spacing w:line="360" w:lineRule="atLeast"/>
        <w:jc w:val="center"/>
        <w:outlineLvl w:val="0"/>
        <w:rPr>
          <w:rFonts w:hint="default" w:ascii="方正小标宋简体" w:hAnsi="微软雅黑" w:eastAsia="方正小标宋简体" w:cs="宋体"/>
          <w:color w:val="000000"/>
          <w:kern w:val="0"/>
          <w:sz w:val="44"/>
          <w:szCs w:val="44"/>
          <w:lang w:val="en-US" w:eastAsia="zh-CN"/>
        </w:rPr>
      </w:pPr>
      <w:bookmarkStart w:id="75" w:name="_Toc16098"/>
      <w:bookmarkStart w:id="76" w:name="_Toc15764"/>
      <w:r>
        <w:rPr>
          <w:rFonts w:hint="eastAsia" w:ascii="方正小标宋简体" w:hAnsi="微软雅黑" w:eastAsia="方正小标宋简体" w:cs="宋体"/>
          <w:color w:val="000000"/>
          <w:kern w:val="0"/>
          <w:sz w:val="44"/>
          <w:szCs w:val="44"/>
          <w:lang w:eastAsia="zh-CN"/>
        </w:rPr>
        <w:t>县危险化学品事故应急</w:t>
      </w:r>
      <w:r>
        <w:rPr>
          <w:rFonts w:hint="eastAsia" w:ascii="方正小标宋简体" w:hAnsi="微软雅黑" w:eastAsia="方正小标宋简体" w:cs="宋体"/>
          <w:color w:val="000000"/>
          <w:kern w:val="0"/>
          <w:sz w:val="44"/>
          <w:szCs w:val="44"/>
          <w:lang w:val="en-US" w:eastAsia="zh-CN"/>
        </w:rPr>
        <w:t>组织体系图</w:t>
      </w:r>
      <w:bookmarkEnd w:id="75"/>
      <w:bookmarkEnd w:id="76"/>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方正黑体简体" w:hAnsi="方正黑体简体" w:eastAsia="方正黑体简体" w:cs="方正黑体简体"/>
        </w:rPr>
      </w:pPr>
      <w:bookmarkStart w:id="77" w:name="_Toc23165"/>
      <w:bookmarkStart w:id="78" w:name="_Toc18296"/>
      <w:bookmarkStart w:id="79" w:name="_Toc31496"/>
    </w:p>
    <w:p>
      <w:pPr>
        <w:pStyle w:val="3"/>
        <w:rPr>
          <w:rFonts w:hint="eastAsia" w:ascii="方正黑体简体" w:hAnsi="方正黑体简体" w:eastAsia="方正黑体简体" w:cs="方正黑体简体"/>
        </w:rPr>
      </w:pPr>
    </w:p>
    <w:p>
      <w:pPr>
        <w:pStyle w:val="3"/>
        <w:rPr>
          <w:rFonts w:hint="eastAsia" w:ascii="方正黑体简体" w:hAnsi="方正黑体简体" w:eastAsia="方正黑体简体" w:cs="方正黑体简体"/>
        </w:rPr>
      </w:pPr>
      <w:r>
        <w:drawing>
          <wp:inline distT="0" distB="0" distL="114300" distR="114300">
            <wp:extent cx="5273040" cy="3194685"/>
            <wp:effectExtent l="0" t="0" r="381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5273040" cy="3194685"/>
                    </a:xfrm>
                    <a:prstGeom prst="rect">
                      <a:avLst/>
                    </a:prstGeom>
                    <a:noFill/>
                    <a:ln>
                      <a:noFill/>
                    </a:ln>
                  </pic:spPr>
                </pic:pic>
              </a:graphicData>
            </a:graphic>
          </wp:inline>
        </w:drawing>
      </w:r>
    </w:p>
    <w:p>
      <w:pPr>
        <w:pStyle w:val="3"/>
        <w:rPr>
          <w:rFonts w:hint="eastAsia" w:ascii="方正黑体简体" w:hAnsi="方正黑体简体" w:eastAsia="方正黑体简体" w:cs="方正黑体简体"/>
        </w:rPr>
      </w:pPr>
    </w:p>
    <w:p>
      <w:pPr>
        <w:pStyle w:val="3"/>
        <w:rPr>
          <w:rFonts w:hint="eastAsia" w:ascii="方正黑体简体" w:hAnsi="方正黑体简体" w:eastAsia="方正黑体简体" w:cs="方正黑体简体"/>
        </w:rPr>
      </w:pPr>
    </w:p>
    <w:p>
      <w:pPr>
        <w:pStyle w:val="3"/>
        <w:rPr>
          <w:rFonts w:hint="eastAsia" w:ascii="方正黑体简体" w:hAnsi="方正黑体简体" w:eastAsia="方正黑体简体" w:cs="方正黑体简体"/>
        </w:rPr>
      </w:pPr>
    </w:p>
    <w:p>
      <w:pPr>
        <w:pStyle w:val="3"/>
        <w:rPr>
          <w:rFonts w:hint="eastAsia" w:ascii="方正黑体简体" w:hAnsi="方正黑体简体" w:eastAsia="方正黑体简体" w:cs="方正黑体简体"/>
        </w:rPr>
      </w:pPr>
    </w:p>
    <w:p>
      <w:pPr>
        <w:pStyle w:val="3"/>
        <w:rPr>
          <w:rFonts w:hint="eastAsia" w:ascii="方正黑体简体" w:hAnsi="方正黑体简体" w:eastAsia="方正黑体简体" w:cs="方正黑体简体"/>
        </w:rPr>
      </w:pPr>
    </w:p>
    <w:p>
      <w:pPr>
        <w:pStyle w:val="3"/>
        <w:rPr>
          <w:rFonts w:hint="eastAsia" w:ascii="方正黑体简体" w:hAnsi="方正黑体简体" w:eastAsia="方正黑体简体" w:cs="方正黑体简体"/>
        </w:rPr>
      </w:pPr>
    </w:p>
    <w:p>
      <w:pPr>
        <w:pStyle w:val="3"/>
        <w:rPr>
          <w:rFonts w:hint="eastAsia" w:ascii="方正黑体简体" w:hAnsi="方正黑体简体" w:eastAsia="方正黑体简体" w:cs="方正黑体简体"/>
        </w:rPr>
      </w:pPr>
    </w:p>
    <w:p>
      <w:pPr>
        <w:pStyle w:val="3"/>
        <w:rPr>
          <w:rFonts w:hint="eastAsia" w:ascii="方正黑体简体" w:hAnsi="方正黑体简体" w:eastAsia="方正黑体简体" w:cs="方正黑体简体"/>
        </w:rPr>
      </w:pPr>
    </w:p>
    <w:p>
      <w:pPr>
        <w:pStyle w:val="3"/>
        <w:rPr>
          <w:rFonts w:hint="eastAsia" w:ascii="方正黑体简体" w:hAnsi="方正黑体简体" w:eastAsia="方正黑体简体" w:cs="方正黑体简体"/>
        </w:rPr>
      </w:pPr>
    </w:p>
    <w:p>
      <w:pPr>
        <w:pStyle w:val="3"/>
        <w:rPr>
          <w:rFonts w:hint="eastAsia" w:ascii="方正黑体简体" w:hAnsi="方正黑体简体" w:eastAsia="方正黑体简体" w:cs="方正黑体简体"/>
        </w:rPr>
      </w:pPr>
    </w:p>
    <w:bookmarkEnd w:id="77"/>
    <w:bookmarkEnd w:id="78"/>
    <w:bookmarkEnd w:id="79"/>
    <w:p>
      <w:pPr>
        <w:ind w:left="0" w:leftChars="0" w:firstLine="0" w:firstLineChars="0"/>
        <w:outlineLvl w:val="0"/>
        <w:rPr>
          <w:rFonts w:hint="eastAsia" w:ascii="方正黑体简体" w:hAnsi="方正黑体简体" w:eastAsia="方正黑体简体" w:cs="方正黑体简体"/>
          <w:lang w:val="en-US" w:eastAsia="zh-CN"/>
        </w:rPr>
      </w:pPr>
      <w:bookmarkStart w:id="80" w:name="_Toc7548"/>
      <w:bookmarkStart w:id="81" w:name="_Toc2359"/>
      <w:bookmarkStart w:id="82" w:name="_Toc3473"/>
      <w:bookmarkStart w:id="83" w:name="_Toc17524"/>
      <w:bookmarkStart w:id="84" w:name="_Toc28733"/>
      <w:r>
        <w:rPr>
          <w:rFonts w:hint="eastAsia" w:ascii="方正黑体简体" w:hAnsi="方正黑体简体" w:eastAsia="方正黑体简体" w:cs="方正黑体简体"/>
        </w:rPr>
        <w:t>附件</w:t>
      </w:r>
      <w:bookmarkEnd w:id="80"/>
      <w:bookmarkEnd w:id="81"/>
      <w:bookmarkEnd w:id="82"/>
      <w:r>
        <w:rPr>
          <w:rFonts w:hint="eastAsia" w:ascii="方正黑体简体" w:hAnsi="方正黑体简体" w:eastAsia="方正黑体简体" w:cs="方正黑体简体"/>
          <w:lang w:val="en-US" w:eastAsia="zh-CN"/>
        </w:rPr>
        <w:t>4</w:t>
      </w:r>
      <w:bookmarkEnd w:id="83"/>
      <w:bookmarkEnd w:id="84"/>
    </w:p>
    <w:p>
      <w:pPr>
        <w:pStyle w:val="3"/>
        <w:jc w:val="center"/>
        <w:outlineLvl w:val="0"/>
        <w:rPr>
          <w:rFonts w:hint="eastAsia" w:ascii="方正小标宋简体" w:hAnsi="微软雅黑" w:eastAsia="方正小标宋简体" w:cs="宋体"/>
          <w:color w:val="000000"/>
          <w:kern w:val="0"/>
          <w:sz w:val="44"/>
          <w:szCs w:val="44"/>
          <w:lang w:val="en-US" w:eastAsia="zh-CN" w:bidi="ar-SA"/>
        </w:rPr>
      </w:pPr>
      <w:bookmarkStart w:id="85" w:name="_Toc17317"/>
      <w:bookmarkStart w:id="86" w:name="_Toc6937"/>
      <w:r>
        <w:rPr>
          <w:rFonts w:hint="eastAsia" w:ascii="方正小标宋简体" w:hAnsi="微软雅黑" w:eastAsia="方正小标宋简体" w:cs="宋体"/>
          <w:color w:val="000000"/>
          <w:kern w:val="0"/>
          <w:sz w:val="44"/>
          <w:szCs w:val="44"/>
          <w:lang w:val="en-US" w:eastAsia="zh-CN" w:bidi="ar-SA"/>
        </w:rPr>
        <w:t>永泰县救援队应急救援装备及物资情况表</w:t>
      </w:r>
      <w:bookmarkEnd w:id="85"/>
      <w:bookmarkEnd w:id="86"/>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462"/>
        <w:gridCol w:w="920"/>
        <w:gridCol w:w="2477"/>
        <w:gridCol w:w="1836"/>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6"/>
            <w:noWrap w:val="0"/>
            <w:vAlign w:val="center"/>
          </w:tcPr>
          <w:p>
            <w:pPr>
              <w:jc w:val="center"/>
              <w:rPr>
                <w:rFonts w:hint="default"/>
                <w:vertAlign w:val="baseline"/>
                <w:lang w:val="en-US" w:eastAsia="zh-CN"/>
              </w:rPr>
            </w:pPr>
            <w:r>
              <w:rPr>
                <w:rFonts w:hint="default"/>
                <w:sz w:val="32"/>
                <w:szCs w:val="40"/>
                <w:vertAlign w:val="baseline"/>
                <w:lang w:val="en-US" w:eastAsia="zh-CN"/>
              </w:rPr>
              <w:t>永泰县</w:t>
            </w:r>
            <w:r>
              <w:rPr>
                <w:rFonts w:hint="eastAsia"/>
                <w:sz w:val="32"/>
                <w:szCs w:val="40"/>
                <w:vertAlign w:val="baseline"/>
                <w:lang w:val="en-US" w:eastAsia="zh-CN"/>
              </w:rPr>
              <w:t>专业救援队</w:t>
            </w:r>
            <w:r>
              <w:rPr>
                <w:rFonts w:hint="default"/>
                <w:sz w:val="32"/>
                <w:szCs w:val="40"/>
                <w:vertAlign w:val="baseline"/>
                <w:lang w:val="en-US" w:eastAsia="zh-CN"/>
              </w:rPr>
              <w:t>应急救援装备及物资情况表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05"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序号</w:t>
            </w:r>
          </w:p>
        </w:tc>
        <w:tc>
          <w:tcPr>
            <w:tcW w:w="1462"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应急队伍全称</w:t>
            </w:r>
          </w:p>
        </w:tc>
        <w:tc>
          <w:tcPr>
            <w:tcW w:w="920"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人员总数</w:t>
            </w:r>
          </w:p>
        </w:tc>
        <w:tc>
          <w:tcPr>
            <w:tcW w:w="2477"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救援机械设备及数量</w:t>
            </w:r>
          </w:p>
        </w:tc>
        <w:tc>
          <w:tcPr>
            <w:tcW w:w="1836"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救援物资及数量</w:t>
            </w:r>
          </w:p>
        </w:tc>
        <w:tc>
          <w:tcPr>
            <w:tcW w:w="1146"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永泰供电公司救援队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移动发电车1辆、无人机2架、高空作业车1辆、卫星电话1部、工业泵1台。</w:t>
            </w:r>
          </w:p>
        </w:tc>
        <w:tc>
          <w:tcPr>
            <w:tcW w:w="1836"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低压电力电缆、电力电缆、架空绝缘导线、交流避雷器、防洪袋、防洪沙袋等。</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人员不可调派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气象局救援队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477"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无</w:t>
            </w:r>
          </w:p>
        </w:tc>
        <w:tc>
          <w:tcPr>
            <w:tcW w:w="1836"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无</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民政局救援队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477"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小型无人机1架。</w:t>
            </w:r>
          </w:p>
        </w:tc>
        <w:tc>
          <w:tcPr>
            <w:tcW w:w="1836"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棉被51床、棉衣50件、毛毯30件、手电筒30个。</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1462" w:type="dxa"/>
            <w:noWrap w:val="0"/>
            <w:vAlign w:val="center"/>
          </w:tcPr>
          <w:p>
            <w:pPr>
              <w:keepNext w:val="0"/>
              <w:keepLines w:val="0"/>
              <w:widowControl/>
              <w:suppressLineNumbers w:val="0"/>
              <w:jc w:val="center"/>
              <w:textAlignment w:val="center"/>
              <w:rPr>
                <w:rFonts w:hint="eastAsia"/>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民用爆破有限公司救援队</w:t>
            </w:r>
          </w:p>
        </w:tc>
        <w:tc>
          <w:tcPr>
            <w:tcW w:w="920" w:type="dxa"/>
            <w:noWrap w:val="0"/>
            <w:vAlign w:val="center"/>
          </w:tcPr>
          <w:p>
            <w:pPr>
              <w:keepNext w:val="0"/>
              <w:keepLines w:val="0"/>
              <w:widowControl/>
              <w:suppressLineNumbers w:val="0"/>
              <w:jc w:val="center"/>
              <w:textAlignment w:val="center"/>
              <w:rPr>
                <w:rFonts w:hint="eastAsia"/>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17</w:t>
            </w:r>
          </w:p>
        </w:tc>
        <w:tc>
          <w:tcPr>
            <w:tcW w:w="2477" w:type="dxa"/>
            <w:noWrap w:val="0"/>
            <w:vAlign w:val="center"/>
          </w:tcPr>
          <w:p>
            <w:pPr>
              <w:keepNext w:val="0"/>
              <w:keepLines w:val="0"/>
              <w:widowControl/>
              <w:suppressLineNumbers w:val="0"/>
              <w:jc w:val="left"/>
              <w:textAlignment w:val="top"/>
              <w:rPr>
                <w:rFonts w:hint="eastAsia"/>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喊话器1台、三号灭火器14台、水枪2把。</w:t>
            </w:r>
          </w:p>
        </w:tc>
        <w:tc>
          <w:tcPr>
            <w:tcW w:w="1836" w:type="dxa"/>
            <w:noWrap w:val="0"/>
            <w:vAlign w:val="center"/>
          </w:tcPr>
          <w:p>
            <w:pPr>
              <w:keepNext w:val="0"/>
              <w:keepLines w:val="0"/>
              <w:widowControl/>
              <w:suppressLineNumbers w:val="0"/>
              <w:jc w:val="left"/>
              <w:textAlignment w:val="top"/>
              <w:rPr>
                <w:rFonts w:hint="eastAsia"/>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防汛灯具2台、防护头盔4个、应急灯5台、雨衣3件。</w:t>
            </w:r>
          </w:p>
        </w:tc>
        <w:tc>
          <w:tcPr>
            <w:tcW w:w="1146" w:type="dxa"/>
            <w:noWrap w:val="0"/>
            <w:vAlign w:val="center"/>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水电发展公司救援队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2477"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汽油发电机组2台、对讲机4部、潜水泵1台。</w:t>
            </w:r>
          </w:p>
        </w:tc>
        <w:tc>
          <w:tcPr>
            <w:tcW w:w="1836"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雨衣雨裤30套、雨鞋30双、铁锹10把、簸箕10担、编织袋2000个、救生衣30件、锄头10把。</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卫生防疫应急队伍</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477"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电动喷雾器（大）1台、（小）2台、手电喷雾器5台。</w:t>
            </w:r>
          </w:p>
        </w:tc>
        <w:tc>
          <w:tcPr>
            <w:tcW w:w="1836"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消毒液500瓶。</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商务局应急救援队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2477"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无</w:t>
            </w:r>
          </w:p>
        </w:tc>
        <w:tc>
          <w:tcPr>
            <w:tcW w:w="1836"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救生衣39件、救生圈39个、雨衣60件、雨鞋39双、铁锹18把。</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电信救援队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2477"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移动发电车1辆、卫星电话2台、对讲机2台、喊话器1个。</w:t>
            </w:r>
          </w:p>
        </w:tc>
        <w:tc>
          <w:tcPr>
            <w:tcW w:w="1836"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救生衣12件、铁锹2个、雨衣15件、雨鞋15双。</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林业局机关消防应急队伍</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2477"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小型无人机2架、大型无人机1架、移动式水泵4台、割草机4台、油锯9台、对讲机9部、风力灭火器15台、点火器10个、灭火水枪60把。</w:t>
            </w:r>
          </w:p>
        </w:tc>
        <w:tc>
          <w:tcPr>
            <w:tcW w:w="1836"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防火服100件、森林消防防护头盔80个、长柄砍刀60把、砍刀80把、灭火弹60箱、工兵铲60把。</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462"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自然资源和规划局救援队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2477"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小型无人机1架。</w:t>
            </w:r>
          </w:p>
        </w:tc>
        <w:tc>
          <w:tcPr>
            <w:tcW w:w="1836"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雨衣62套、雨鞋62双、手电筒62把。</w:t>
            </w:r>
          </w:p>
        </w:tc>
        <w:tc>
          <w:tcPr>
            <w:tcW w:w="1146" w:type="dxa"/>
            <w:noWrap w:val="0"/>
            <w:vAlign w:val="center"/>
          </w:tcPr>
          <w:p>
            <w:pPr>
              <w:jc w:val="both"/>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462" w:type="dxa"/>
            <w:noWrap w:val="0"/>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住房和城乡建设局应急队伍</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477" w:type="dxa"/>
            <w:noWrap w:val="0"/>
            <w:vAlign w:val="center"/>
          </w:tcPr>
          <w:p>
            <w:pPr>
              <w:jc w:val="left"/>
              <w:rPr>
                <w:rFonts w:hint="eastAsia" w:ascii="宋体" w:hAnsi="宋体" w:eastAsia="宋体" w:cs="宋体"/>
                <w:color w:val="000000"/>
                <w:kern w:val="0"/>
                <w:sz w:val="22"/>
                <w:szCs w:val="18"/>
                <w:u w:val="none"/>
                <w:vertAlign w:val="baseline"/>
                <w:lang w:val="en-US" w:eastAsia="zh-CN" w:bidi="ar"/>
              </w:rPr>
            </w:pPr>
          </w:p>
        </w:tc>
        <w:tc>
          <w:tcPr>
            <w:tcW w:w="1836" w:type="dxa"/>
            <w:noWrap w:val="0"/>
            <w:vAlign w:val="center"/>
          </w:tcPr>
          <w:p>
            <w:pPr>
              <w:jc w:val="left"/>
              <w:rPr>
                <w:rFonts w:hint="eastAsia" w:ascii="宋体" w:hAnsi="宋体" w:eastAsia="宋体" w:cs="宋体"/>
                <w:color w:val="000000"/>
                <w:kern w:val="0"/>
                <w:sz w:val="22"/>
                <w:szCs w:val="18"/>
                <w:u w:val="none"/>
                <w:vertAlign w:val="baseline"/>
                <w:lang w:val="en-US" w:eastAsia="zh-CN" w:bidi="ar"/>
              </w:rPr>
            </w:pPr>
          </w:p>
        </w:tc>
        <w:tc>
          <w:tcPr>
            <w:tcW w:w="1146" w:type="dxa"/>
            <w:noWrap w:val="0"/>
            <w:vAlign w:val="center"/>
          </w:tcPr>
          <w:p>
            <w:pPr>
              <w:jc w:val="both"/>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restart"/>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462" w:type="dxa"/>
            <w:vMerge w:val="restart"/>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永泰县应急管理局应急队伍</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风力灭火机6台。</w:t>
            </w:r>
          </w:p>
        </w:tc>
        <w:tc>
          <w:tcPr>
            <w:tcW w:w="1836"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2号灭火工具20把。</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刘岐专业森林消防队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c>
          <w:tcPr>
            <w:tcW w:w="1462" w:type="dxa"/>
            <w:vMerge w:val="continue"/>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风力灭火机6台。</w:t>
            </w:r>
          </w:p>
        </w:tc>
        <w:tc>
          <w:tcPr>
            <w:tcW w:w="1836"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2号灭火工具20把。</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清凉专业森林消防队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c>
          <w:tcPr>
            <w:tcW w:w="1462" w:type="dxa"/>
            <w:vMerge w:val="continue"/>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风力灭火机6台。</w:t>
            </w:r>
          </w:p>
        </w:tc>
        <w:tc>
          <w:tcPr>
            <w:tcW w:w="1836"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2号灭火工具20把。</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白云专业森林消防队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c>
          <w:tcPr>
            <w:tcW w:w="1462" w:type="dxa"/>
            <w:vMerge w:val="continue"/>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风力灭火机6台。</w:t>
            </w:r>
          </w:p>
        </w:tc>
        <w:tc>
          <w:tcPr>
            <w:tcW w:w="1836"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2号灭火工具20把。</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大洋专业森林消防队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c>
          <w:tcPr>
            <w:tcW w:w="1462" w:type="dxa"/>
            <w:vMerge w:val="continue"/>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风力灭火机6台。</w:t>
            </w:r>
          </w:p>
        </w:tc>
        <w:tc>
          <w:tcPr>
            <w:tcW w:w="1836"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2号灭火工具20把。</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梧桐专业森林消防队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c>
          <w:tcPr>
            <w:tcW w:w="1462" w:type="dxa"/>
            <w:vMerge w:val="continue"/>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风力灭火机5台。</w:t>
            </w:r>
          </w:p>
        </w:tc>
        <w:tc>
          <w:tcPr>
            <w:tcW w:w="1836"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2号灭火工具20把。</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嵩口专业森林消防队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合计</w:t>
            </w:r>
          </w:p>
        </w:tc>
        <w:tc>
          <w:tcPr>
            <w:tcW w:w="1462"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920"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446</w:t>
            </w:r>
          </w:p>
        </w:tc>
        <w:tc>
          <w:tcPr>
            <w:tcW w:w="2477"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83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bl>
    <w:p>
      <w:pPr>
        <w:rPr>
          <w:rFonts w:hint="default"/>
          <w:lang w:val="en-US" w:eastAsia="zh-CN"/>
        </w:rPr>
      </w:pPr>
    </w:p>
    <w:p>
      <w:pPr>
        <w:pStyle w:val="13"/>
        <w:ind w:left="0" w:firstLine="0"/>
      </w:pPr>
    </w:p>
    <w:p/>
    <w:p>
      <w:pPr>
        <w:pStyle w:val="3"/>
      </w:pPr>
    </w:p>
    <w:p>
      <w:pPr>
        <w:pStyle w:val="3"/>
      </w:pPr>
    </w:p>
    <w:p>
      <w:pPr>
        <w:pStyle w:val="3"/>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462"/>
        <w:gridCol w:w="920"/>
        <w:gridCol w:w="2477"/>
        <w:gridCol w:w="1836"/>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6"/>
            <w:noWrap w:val="0"/>
            <w:vAlign w:val="center"/>
          </w:tcPr>
          <w:p>
            <w:pPr>
              <w:jc w:val="center"/>
              <w:rPr>
                <w:rFonts w:hint="default"/>
                <w:vertAlign w:val="baseline"/>
                <w:lang w:val="en-US" w:eastAsia="zh-CN"/>
              </w:rPr>
            </w:pPr>
            <w:r>
              <w:rPr>
                <w:rFonts w:hint="default"/>
                <w:sz w:val="32"/>
                <w:szCs w:val="40"/>
                <w:vertAlign w:val="baseline"/>
                <w:lang w:val="en-US" w:eastAsia="zh-CN"/>
              </w:rPr>
              <w:t>永泰县</w:t>
            </w:r>
            <w:r>
              <w:rPr>
                <w:rFonts w:hint="eastAsia"/>
                <w:sz w:val="32"/>
                <w:szCs w:val="40"/>
                <w:vertAlign w:val="baseline"/>
                <w:lang w:val="en-US" w:eastAsia="zh-CN"/>
              </w:rPr>
              <w:t>综合救援队</w:t>
            </w:r>
            <w:r>
              <w:rPr>
                <w:rFonts w:hint="default"/>
                <w:sz w:val="32"/>
                <w:szCs w:val="40"/>
                <w:vertAlign w:val="baseline"/>
                <w:lang w:val="en-US" w:eastAsia="zh-CN"/>
              </w:rPr>
              <w:t>应急救援装备及物资情况表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05"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序号</w:t>
            </w:r>
          </w:p>
        </w:tc>
        <w:tc>
          <w:tcPr>
            <w:tcW w:w="1462"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应急队伍全称</w:t>
            </w:r>
          </w:p>
        </w:tc>
        <w:tc>
          <w:tcPr>
            <w:tcW w:w="920"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人员总数</w:t>
            </w:r>
          </w:p>
        </w:tc>
        <w:tc>
          <w:tcPr>
            <w:tcW w:w="2477"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救援机械设备及数量</w:t>
            </w:r>
          </w:p>
        </w:tc>
        <w:tc>
          <w:tcPr>
            <w:tcW w:w="1836"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救援物资及数量</w:t>
            </w:r>
          </w:p>
        </w:tc>
        <w:tc>
          <w:tcPr>
            <w:tcW w:w="1146"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1</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永泰县消防救援队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ascii="宋体" w:hAnsi="宋体" w:eastAsia="宋体" w:cs="宋体"/>
                <w:color w:val="000000"/>
                <w:kern w:val="0"/>
                <w:sz w:val="24"/>
                <w:szCs w:val="24"/>
                <w:lang w:val="en-US" w:eastAsia="zh-CN" w:bidi="ar"/>
              </w:rPr>
              <w:t>一七泡沫水罐车1部、德国曼抢险救援车1部、豪沃高喷水罐车1部、登高平台车1部、五十铃水罐车1部、五十铃抢险车1部、豪沃水罐车2部。</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便携式发动机2台、油锯2台、切割机2台、液压破拆工具2台、抛绳（牵绳）装备1套、生命探测仪1台、热成像设备1套、卫星电话2台、对讲机25台、喊话器3个、水枪12把, 防护（防生化）服7套、救生衣50件、救生圈6个、铁锹2把、铁镐2把、避火服2套、防护头盔40个、雨鞋20双、担架4个。</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2</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永泰县嵩口消防救援站</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豪沃水罐车1部、五十铃水罐车泡沫1部、五十铃抢险车1部</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油锯1台、切割机1台、对讲机17台、喊话器2个、水枪10把, 救生衣20件、救生圈4个、铁锹1把、铁镐1把、防护头盔20个、担架1个、移动抽水泵1台、发动机1台。</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3</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永泰县葛岭消防救援站</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豪沃水罐车1部、水罐车泡沫1部、抢险车1部。</w:t>
            </w:r>
          </w:p>
        </w:tc>
        <w:tc>
          <w:tcPr>
            <w:tcW w:w="1836" w:type="dxa"/>
            <w:noWrap w:val="0"/>
            <w:vAlign w:val="center"/>
          </w:tcPr>
          <w:p>
            <w:pPr>
              <w:jc w:val="center"/>
              <w:textAlignment w:val="center"/>
              <w:rPr>
                <w:rFonts w:hint="eastAsia" w:ascii="宋体" w:hAnsi="宋体" w:eastAsia="宋体" w:cs="宋体"/>
                <w:color w:val="000000"/>
                <w:kern w:val="0"/>
                <w:sz w:val="24"/>
                <w:szCs w:val="24"/>
                <w:u w:val="none"/>
                <w:vertAlign w:val="baseline"/>
                <w:lang w:val="en-US" w:eastAsia="zh-CN" w:bidi="ar"/>
              </w:rPr>
            </w:pP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1462"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920"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90</w:t>
            </w:r>
          </w:p>
        </w:tc>
        <w:tc>
          <w:tcPr>
            <w:tcW w:w="2477"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83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bl>
    <w:p>
      <w:pPr>
        <w:pStyle w:val="13"/>
        <w:ind w:left="0" w:firstLine="0"/>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462"/>
        <w:gridCol w:w="920"/>
        <w:gridCol w:w="2477"/>
        <w:gridCol w:w="1836"/>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6"/>
            <w:noWrap w:val="0"/>
            <w:vAlign w:val="center"/>
          </w:tcPr>
          <w:p>
            <w:pPr>
              <w:jc w:val="center"/>
              <w:rPr>
                <w:rFonts w:hint="default"/>
                <w:vertAlign w:val="baseline"/>
                <w:lang w:val="en-US" w:eastAsia="zh-CN"/>
              </w:rPr>
            </w:pPr>
            <w:r>
              <w:rPr>
                <w:rFonts w:hint="default"/>
                <w:sz w:val="32"/>
                <w:szCs w:val="40"/>
                <w:vertAlign w:val="baseline"/>
                <w:lang w:val="en-US" w:eastAsia="zh-CN"/>
              </w:rPr>
              <w:t>永泰县</w:t>
            </w:r>
            <w:r>
              <w:rPr>
                <w:rFonts w:hint="eastAsia"/>
                <w:sz w:val="32"/>
                <w:szCs w:val="40"/>
                <w:vertAlign w:val="baseline"/>
                <w:lang w:val="en-US" w:eastAsia="zh-CN"/>
              </w:rPr>
              <w:t>乡镇救援队</w:t>
            </w:r>
            <w:r>
              <w:rPr>
                <w:rFonts w:hint="default"/>
                <w:sz w:val="32"/>
                <w:szCs w:val="40"/>
                <w:vertAlign w:val="baseline"/>
                <w:lang w:val="en-US" w:eastAsia="zh-CN"/>
              </w:rPr>
              <w:t>应急救援装备及物资情况表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05"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序号</w:t>
            </w:r>
          </w:p>
        </w:tc>
        <w:tc>
          <w:tcPr>
            <w:tcW w:w="1462"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应急队伍全称</w:t>
            </w:r>
          </w:p>
        </w:tc>
        <w:tc>
          <w:tcPr>
            <w:tcW w:w="920"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人员总数</w:t>
            </w:r>
          </w:p>
        </w:tc>
        <w:tc>
          <w:tcPr>
            <w:tcW w:w="2477"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救援机械设备及数量</w:t>
            </w:r>
          </w:p>
        </w:tc>
        <w:tc>
          <w:tcPr>
            <w:tcW w:w="1836"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救援物资及数量</w:t>
            </w:r>
          </w:p>
        </w:tc>
        <w:tc>
          <w:tcPr>
            <w:tcW w:w="1146"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1</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樟城镇救援队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移动发电车1辆、油锯1台对、讲机5部、喊话机3部、水枪头15个。</w:t>
            </w:r>
          </w:p>
        </w:tc>
        <w:tc>
          <w:tcPr>
            <w:tcW w:w="1836" w:type="dxa"/>
            <w:noWrap w:val="0"/>
            <w:vAlign w:val="center"/>
          </w:tcPr>
          <w:p>
            <w:pPr>
              <w:keepNext w:val="0"/>
              <w:keepLines w:val="0"/>
              <w:widowControl/>
              <w:suppressLineNumbers w:val="0"/>
              <w:spacing w:after="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编织麻袋500个、救生衣30件、救生圈30个、防汛灯具5个、铁锹30把、铁镐10把、防护头盔30顶、应急灯2个、雨衣20件、雨鞋10双、棉衣6件、棉被6件、砍刀5把、灭火弹6个。</w:t>
            </w:r>
          </w:p>
          <w:p>
            <w:pPr>
              <w:keepNext w:val="0"/>
              <w:keepLines w:val="0"/>
              <w:widowControl/>
              <w:suppressLineNumbers w:val="0"/>
              <w:spacing w:after="0" w:afterAutospacing="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spacing w:after="0" w:afterAutospacing="0"/>
              <w:jc w:val="center"/>
              <w:textAlignment w:val="center"/>
              <w:rPr>
                <w:rFonts w:hint="eastAsia" w:ascii="宋体" w:hAnsi="宋体" w:eastAsia="宋体" w:cs="宋体"/>
                <w:i w:val="0"/>
                <w:iCs w:val="0"/>
                <w:color w:val="000000"/>
                <w:kern w:val="0"/>
                <w:sz w:val="24"/>
                <w:szCs w:val="24"/>
                <w:u w:val="none"/>
                <w:lang w:val="en-US" w:eastAsia="zh-CN" w:bidi="ar"/>
              </w:rPr>
            </w:pPr>
          </w:p>
          <w:p>
            <w:pPr>
              <w:pStyle w:val="13"/>
              <w:jc w:val="both"/>
              <w:rPr>
                <w:rFonts w:hint="eastAsia"/>
                <w:lang w:val="en-US" w:eastAsia="zh-CN"/>
              </w:rPr>
            </w:pP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2</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清凉镇救援队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71</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卫星电话1部。</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救生衣31件、编织袋5200个、手电筒186把、锄头158把、铁锹110把、土箕158个、雨鞋186双、雨衣93件。</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3</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富泉乡救援队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应急发电机1台。</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救生衣60件、编织袋2000个、安全帽30顶、雨衣80件、雨鞋80双、手电筒30把、锄头10把、铁锹10把、土箕20个、头灯30个、手提式探照灯10把、安全绳20捆、救生抛绳器1个、卫星电话1部、喊话器7个、灭火二号25把、砍刀35把、风力灭火器2套、灭火水枪8把。</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4</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赤锡乡救援队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卫星电话1台、发电机2台、手摇报警器15个、铜锣60面。</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麻袋100、雨衣雨鞋70、救生衣50、手电筒70、安全帽30、锄头10、簸箕10。</w:t>
            </w:r>
          </w:p>
        </w:tc>
        <w:tc>
          <w:tcPr>
            <w:tcW w:w="1146" w:type="dxa"/>
            <w:noWrap w:val="0"/>
            <w:vAlign w:val="center"/>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5" w:hRule="atLeast"/>
        </w:trPr>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5</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梧桐镇救援队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发电机1台；油锯2台；消防动力机1台；救援抛绳器1台；卫星电话1台；对讲机1台；风力灭火器5台；二号灭火工具50把；点火器18个；背负式灭火水枪15支；高压喷雾水枪1支；手摇报警器29个。</w:t>
            </w:r>
          </w:p>
        </w:tc>
        <w:tc>
          <w:tcPr>
            <w:tcW w:w="1836" w:type="dxa"/>
            <w:noWrap w:val="0"/>
            <w:vAlign w:val="center"/>
          </w:tcPr>
          <w:p>
            <w:pPr>
              <w:keepNext w:val="0"/>
              <w:keepLines w:val="0"/>
              <w:widowControl/>
              <w:suppressLineNumbers w:val="0"/>
              <w:spacing w:after="0" w:afterAutospacing="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帐篷5顶；编织袋900个；救生衣30件；救生圈10个、铁锹40把；锄头35把；头盔30顶；警戒线40盒、应急背囊30件；雨衣84件；雨鞋100双；棉衣30件：棉被50床；柴刀（短）40把；安全绳20捆。</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4" w:hRule="atLeast"/>
        </w:trPr>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6</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盖洋乡救援队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灭火二号工具45把、背负式灭火水枪6支、干粉灭火器6箱、卫星电话1部、手锯1把。</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柴刀（长）2把、柴刀（短）50把、帐篷8顶、棉被10床、编织袋200个、雨鞋30双、橡胶簸箕25个、铁锹30个、锄头30把、防护头盔40顶、雨衣30件、救生绳25条。</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7</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东洋乡救援队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卫星电话1部。</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帐篷1顶、应急灯15个、铁锹20把、铁镐55把、棉被45套、防护头盔60顶、编织袋200个、救生衣30件、雨衣16件、雨鞋18件。</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8</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大洋镇救援队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38</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油锯1台、卫星电话1部、风力灭火器17箱、水枪13支。</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二号灭火工具78把、帐篷3个、救生衣40件、铁镐18把、防护头盔50顶、雨衣10件、雨鞋10件、棉衣23件、砍刀35把、灭火弹2箱。</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9</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红星乡救援队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43</w:t>
            </w:r>
          </w:p>
        </w:tc>
        <w:tc>
          <w:tcPr>
            <w:tcW w:w="2477" w:type="dxa"/>
            <w:noWrap w:val="0"/>
            <w:vAlign w:val="center"/>
          </w:tcPr>
          <w:p>
            <w:pPr>
              <w:keepNext w:val="0"/>
              <w:keepLines w:val="0"/>
              <w:widowControl/>
              <w:suppressLineNumbers w:val="0"/>
              <w:spacing w:after="0" w:afterAutospacing="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背负式灭火水枪5支、点火器2个、油锯2台、风力灭火机6台、灭火弹10箱、割灌机2台、手持对讲机2部、GPS定位仪1个、望远镜1个、抛绳器1套、应急发电机1台。</w:t>
            </w:r>
          </w:p>
        </w:tc>
        <w:tc>
          <w:tcPr>
            <w:tcW w:w="1836" w:type="dxa"/>
            <w:noWrap w:val="0"/>
            <w:vAlign w:val="center"/>
          </w:tcPr>
          <w:p>
            <w:pPr>
              <w:keepNext w:val="0"/>
              <w:keepLines w:val="0"/>
              <w:widowControl/>
              <w:suppressLineNumbers w:val="0"/>
              <w:spacing w:after="0" w:afterAutospacing="0"/>
              <w:jc w:val="center"/>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灭火二号工具50把、灭火三号工具50把、长柄柴刀15把、短柄柴刀15把、甘大柴刀15把、防护头盔50顶、顶阻燃服装20套、荒漠迷彩服12套、双肩包50个、林地迷彩服50套、毛巾50条、迷彩帽50顶、迷彩鞋50双、手电50把、防火手套50副、阻燃鞋14双、油桶1个、水壶50个、简易急救包20个、储物架1个、手提式探照灯10个、防寒雨衣20件、雨鞋20双、帐篷2个、陆军背囊30个、陆军棉被30床、水壶30个、头盔30顶、警棍30把、盾牌30个、防暴钢叉2个、反光背心30套、灭火组合工具5套、防火面具10个、强光手电30把、救生衣20套、防汛帽20顶、施救绳10捆、应急沙袋100个、蜡烛100根、大锹25把、大镐25把、小锹5把、小镐5把、背囊架2个、铁镐架1个、盾牌架3个。</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10</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白云乡救援队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风力灭火器4台、背负式灭火水枪5台。</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砍刀10把、灭火弹10个、铁锹10把、救生衣15件、编织袋300个、头盔48顶。</w:t>
            </w:r>
          </w:p>
        </w:tc>
        <w:tc>
          <w:tcPr>
            <w:tcW w:w="1146" w:type="dxa"/>
            <w:noWrap w:val="0"/>
            <w:vAlign w:val="center"/>
          </w:tcPr>
          <w:p>
            <w:pPr>
              <w:jc w:val="both"/>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8" w:hRule="atLeast"/>
        </w:trPr>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11</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嵩口镇救援队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三轮消防车1部、移动水泵车1台、卫星电话1部、对讲机4部、风力灭火器4台、救援抛绳器1个、应急发电机1台。</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帐篷25顶、编织袋5000个、救生衣160件、头盔160顶、雨衣160件、雨鞋160双、手电筒160把、铁锹30把、锄头70把、防火服20套、应急灯10个、棉被10床、砍刀20把、灭火弹10箱二号灭火工具30把。</w:t>
            </w:r>
          </w:p>
        </w:tc>
        <w:tc>
          <w:tcPr>
            <w:tcW w:w="1146" w:type="dxa"/>
            <w:noWrap w:val="0"/>
            <w:vAlign w:val="center"/>
          </w:tcPr>
          <w:p>
            <w:pPr>
              <w:jc w:val="both"/>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12</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岭路乡救援队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背负式灭火水枪3支、复式水枪12支、割草机3个、点火器3个、油锯1台、望远镜1台、应急发电机1台、卫星电话1部。</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防寒雨衣15件、雨鞋18双、安全帽20顶、救生衣20件、安全绳20条、手提式探照灯10把、强冲电筒5把、抛绳器1个、编织袋500个二号灭火工具113把、长式砍刀2把、柴刀80把。</w:t>
            </w: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13</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塘前乡救援队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卫星电话1台、对讲机7台、喊话器10台。</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帐篷3顶、铁锹30把、铁镐30把、应急灯50个、棉被30件；锄头3把、铲子5把、手套1箱、油锯1把、砍刀11 把、长砍刀2把、割草机1台、扬声器1台、安全帽10顶、安全绳2条、风力灭火机3台、干粉灭火器3箱、2号扑火工具100把、手投式灭火器7箱、背负式自动喷雾器1台、背式水枪（水壶式）10把、背式水枪（背袋式）7把。</w:t>
            </w: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14</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洑口乡救援队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卫星电话1部、应急发电机2台。</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帐篷10顶、编织袋300个、救生衣30件、强光手电10个、铁锹20把、雨衣45件、雨鞋45双、砍刀37把、灭火弹2箱、二号灭火工具87把。</w:t>
            </w: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15</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同安镇救援队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手动喷水灭火机20台、小型无人机1架。</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二号灭火工具30把、灭火器材3箱、手电筒50把、劈刀30把、服装30套、安全帽30顶、喊话器80个、话筒23个、扩音器23个、大喇叭23个。</w:t>
            </w: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16</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霞拔乡救援队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发电机1台。</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头盔27顶、工兵铲7把、锄头6把、砍柴刀6把、救生衣20件、安全帽50顶、军用背包20个、雨衣20件、灭火喷壶3个、灭火弹3箱、雨鞋20双。</w:t>
            </w: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17</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葛岭镇救援队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46</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卫星电话1部、对讲机6部、便携式发电机1台、喊话器6部、静力绳2捆灭火水枪10支。</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二号灭火工具80把、编织袋1000个、救生衣20件、铁锹10把、应急灯5个、雨衣雨鞋各10套。</w:t>
            </w: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18</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城峰镇救援队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210</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3.8米皮划艇1艘、3.3米皮划艇1艘、卫星手机1台、高音喇叭37个、发电机1台、手摇报警器1台、背式水枪5把</w:t>
            </w:r>
          </w:p>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836" w:type="dxa"/>
            <w:noWrap w:val="0"/>
            <w:vAlign w:val="center"/>
          </w:tcPr>
          <w:p>
            <w:pPr>
              <w:keepNext w:val="0"/>
              <w:keepLines w:val="0"/>
              <w:widowControl/>
              <w:suppressLineNumbers w:val="0"/>
              <w:spacing w:after="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号扑火工具30把、铜锣19个、沙袋1000个、安全绳20条、救援抛绳器1条、救生圈18个、救生衣30件、棉被40床、警戒线6件、手提式探照灯10个、手电筒60个、安全帽17顶、雨衣64件、一次性雨衣150件、雨鞋53双、救生衣164件、编织袋3360个、电筒274把、锄头469把、铁锹288把、土箕329个、雨鞋283双、雨衣311件、铜锣25个、警戒线37件、砂石料202立方米、安全带243件。</w:t>
            </w:r>
          </w:p>
          <w:p>
            <w:pPr>
              <w:keepNext w:val="0"/>
              <w:keepLines w:val="0"/>
              <w:widowControl/>
              <w:suppressLineNumbers w:val="0"/>
              <w:spacing w:after="0" w:afterAutospacing="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spacing w:after="0" w:afterAutospacing="0"/>
              <w:jc w:val="center"/>
              <w:textAlignment w:val="center"/>
              <w:rPr>
                <w:rFonts w:hint="eastAsia" w:ascii="宋体" w:hAnsi="宋体" w:eastAsia="宋体" w:cs="宋体"/>
                <w:i w:val="0"/>
                <w:iCs w:val="0"/>
                <w:color w:val="000000"/>
                <w:kern w:val="0"/>
                <w:sz w:val="24"/>
                <w:szCs w:val="24"/>
                <w:u w:val="none"/>
                <w:lang w:val="en-US" w:eastAsia="zh-CN" w:bidi="ar"/>
              </w:rPr>
            </w:pPr>
          </w:p>
          <w:p>
            <w:pPr>
              <w:pStyle w:val="13"/>
              <w:jc w:val="both"/>
              <w:rPr>
                <w:rFonts w:hint="eastAsia"/>
                <w:lang w:val="en-US" w:eastAsia="zh-CN"/>
              </w:rPr>
            </w:pP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19</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盘谷乡救援队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挖掘机1台。</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灭火二号工具101把、柴刀30把、背负式灭火水枪6支、风力灭火器3台、灭火器50个、背包25个、手套152</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副、头戴手电筒25支、编织袋2000个、洋镐10把、锄</w:t>
            </w:r>
          </w:p>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头10把、土箕10担、扁担10把、雨衣30件、雨鞋30双、洋锹15把、救生衣28件、安全帽25个、头灯5个、对讲机3个。</w:t>
            </w: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20</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丹云乡救援队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救生衣20件、救生绳10捆、安全帽20顶、雨衣雨鞋20套、手电20把、头灯20个、搞10把、铁锹30把、柴刀5把。</w:t>
            </w: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5"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21</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长庆镇救援队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风力灭火器16台；干粉灭火剂9箱；柴刀50把；背负式灭火水枪16支；手抬机动泵2台；单向射流式自吸泵2台；卫星电话1部；对讲机4台；柴油发动机1台。</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救生衣105件；编织袋600件；手摇警报器60台；帐篷2顶；工作灯150 盏；铁铲25，迷彩鞋20，农用灭火喷雾器20，防毒面具20，橡皮棍20，头盔15，盾牌20灭火2号工具60把。</w:t>
            </w: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合计</w:t>
            </w:r>
          </w:p>
        </w:tc>
        <w:tc>
          <w:tcPr>
            <w:tcW w:w="1462"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920"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813</w:t>
            </w:r>
          </w:p>
        </w:tc>
        <w:tc>
          <w:tcPr>
            <w:tcW w:w="2477"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83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bl>
    <w:p/>
    <w:p>
      <w:pPr>
        <w:pStyle w:val="13"/>
      </w:pPr>
    </w:p>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462"/>
        <w:gridCol w:w="920"/>
        <w:gridCol w:w="2477"/>
        <w:gridCol w:w="1836"/>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6"/>
            <w:noWrap w:val="0"/>
            <w:vAlign w:val="center"/>
          </w:tcPr>
          <w:p>
            <w:pPr>
              <w:jc w:val="center"/>
              <w:rPr>
                <w:rFonts w:hint="default"/>
                <w:vertAlign w:val="baseline"/>
                <w:lang w:val="en-US" w:eastAsia="zh-CN"/>
              </w:rPr>
            </w:pPr>
            <w:r>
              <w:rPr>
                <w:rFonts w:hint="default"/>
                <w:sz w:val="32"/>
                <w:szCs w:val="40"/>
                <w:vertAlign w:val="baseline"/>
                <w:lang w:val="en-US" w:eastAsia="zh-CN"/>
              </w:rPr>
              <w:t>永泰县</w:t>
            </w:r>
            <w:r>
              <w:rPr>
                <w:rFonts w:hint="eastAsia"/>
                <w:sz w:val="32"/>
                <w:szCs w:val="40"/>
                <w:vertAlign w:val="baseline"/>
                <w:lang w:val="en-US" w:eastAsia="zh-CN"/>
              </w:rPr>
              <w:t>辅助救援队</w:t>
            </w:r>
            <w:r>
              <w:rPr>
                <w:rFonts w:hint="default"/>
                <w:sz w:val="32"/>
                <w:szCs w:val="40"/>
                <w:vertAlign w:val="baseline"/>
                <w:lang w:val="en-US" w:eastAsia="zh-CN"/>
              </w:rPr>
              <w:t>应急救援装备及物资情况表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05"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序号</w:t>
            </w:r>
          </w:p>
        </w:tc>
        <w:tc>
          <w:tcPr>
            <w:tcW w:w="1462"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应急队伍全称</w:t>
            </w:r>
          </w:p>
        </w:tc>
        <w:tc>
          <w:tcPr>
            <w:tcW w:w="920"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人员总数</w:t>
            </w:r>
          </w:p>
        </w:tc>
        <w:tc>
          <w:tcPr>
            <w:tcW w:w="2477"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救援机械设备及数量</w:t>
            </w:r>
          </w:p>
        </w:tc>
        <w:tc>
          <w:tcPr>
            <w:tcW w:w="1836"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救援物资及数量</w:t>
            </w:r>
          </w:p>
        </w:tc>
        <w:tc>
          <w:tcPr>
            <w:tcW w:w="1146"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1</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曙光救援队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救生艇1艘、无人机1架、水下探测仪1台。</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救生衣35件、背包4个。</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2</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天台山救援队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冲锋舟1部，绳索速降装备10套，油锯3台，高科技微型破拆锯2把，灭火鼓风机2台，地震破拆装备1套，发电机1台，应急手电30个，车载无线电装备2套，专业承重水上救援救生衣20套，拖车1部，应急越野车队20部。</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蜡烛50箱、衣服20箱、棉被60床、救生包50包。</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3</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红十字会救援队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无</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培训简易急救包500个。</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1" w:hRule="atLeast"/>
        </w:trPr>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4</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县民兵应急连</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120</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冲锋舟3部、小型无人机1架、便携式发电机1台、油锯2台、液压破拆工具2台、抛绳器3个、卫星电话1部、对讲机20台、喊话器3台、风力灭火机7台、2号灭火工具30把、水枪7把。</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帐篷13顶、编织袋1000个、麻袋1000个、救生衣120件、救生圈5个、防汛灯具20个、铁锹30把、铁镐10把、防火服20套、防护头盔120顶、应急灯10台、雨衣130套、雨鞋120双、棉衣120件、棉被120床、应急包2套、砍刀10把、灭火弹36个。</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5</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县武警中队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41</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电锯3台。</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铁锹10把、铁镐10把、救援绳2根、救生衣100套、雨衣50套。</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1462"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244</w:t>
            </w:r>
          </w:p>
        </w:tc>
        <w:tc>
          <w:tcPr>
            <w:tcW w:w="2477"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83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bl>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ind w:left="0" w:leftChars="0" w:firstLine="0" w:firstLineChars="0"/>
        <w:outlineLvl w:val="0"/>
        <w:rPr>
          <w:rFonts w:hint="eastAsia"/>
          <w:lang w:eastAsia="zh-CN"/>
        </w:rPr>
      </w:pPr>
      <w:bookmarkStart w:id="87" w:name="_Toc14895"/>
      <w:bookmarkStart w:id="88" w:name="_Toc3730"/>
      <w:r>
        <w:rPr>
          <w:rFonts w:hint="eastAsia" w:ascii="方正黑体简体" w:hAnsi="方正黑体简体" w:eastAsia="方正黑体简体" w:cs="方正黑体简体"/>
        </w:rPr>
        <w:t>附件</w:t>
      </w:r>
      <w:bookmarkEnd w:id="87"/>
      <w:bookmarkEnd w:id="88"/>
      <w:r>
        <w:rPr>
          <w:rFonts w:hint="eastAsia" w:ascii="方正黑体简体" w:hAnsi="方正黑体简体" w:eastAsia="方正黑体简体" w:cs="方正黑体简体"/>
          <w:lang w:val="en-US" w:eastAsia="zh-CN"/>
        </w:rPr>
        <w:t>5</w:t>
      </w:r>
    </w:p>
    <w:p>
      <w:pPr>
        <w:pStyle w:val="14"/>
        <w:numPr>
          <w:ilvl w:val="0"/>
          <w:numId w:val="0"/>
        </w:numPr>
        <w:tabs>
          <w:tab w:val="left" w:pos="1655"/>
          <w:tab w:val="left" w:pos="1656"/>
        </w:tabs>
        <w:spacing w:before="56" w:after="22" w:line="240" w:lineRule="auto"/>
        <w:ind w:right="0" w:rightChars="0"/>
        <w:jc w:val="center"/>
        <w:rPr>
          <w:rFonts w:hint="eastAsia" w:ascii="方正小标宋简体" w:hAnsi="微软雅黑" w:eastAsia="方正小标宋简体" w:cs="宋体"/>
          <w:color w:val="000000"/>
          <w:kern w:val="0"/>
          <w:sz w:val="44"/>
          <w:szCs w:val="44"/>
          <w:lang w:val="en-US" w:eastAsia="zh-CN" w:bidi="ar-SA"/>
        </w:rPr>
      </w:pPr>
      <w:r>
        <w:rPr>
          <w:rFonts w:hint="eastAsia" w:ascii="方正小标宋简体" w:hAnsi="微软雅黑" w:eastAsia="方正小标宋简体" w:cs="宋体"/>
          <w:color w:val="000000"/>
          <w:kern w:val="0"/>
          <w:sz w:val="44"/>
          <w:szCs w:val="44"/>
          <w:lang w:val="en-US" w:eastAsia="zh-CN" w:bidi="ar-SA"/>
        </w:rPr>
        <w:t>永泰县及周边医疗机构一览表</w:t>
      </w:r>
    </w:p>
    <w:tbl>
      <w:tblPr>
        <w:tblStyle w:val="8"/>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16"/>
        <w:gridCol w:w="3169"/>
        <w:gridCol w:w="1360"/>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062" w:type="dxa"/>
            <w:gridSpan w:val="4"/>
            <w:noWrap w:val="0"/>
            <w:vAlign w:val="center"/>
          </w:tcPr>
          <w:p>
            <w:pPr>
              <w:pStyle w:val="12"/>
              <w:spacing w:before="98"/>
              <w:ind w:left="107"/>
              <w:jc w:val="left"/>
              <w:rPr>
                <w:rFonts w:hint="eastAsia" w:ascii="宋体" w:eastAsia="宋体"/>
                <w:sz w:val="24"/>
              </w:rPr>
            </w:pPr>
            <w:r>
              <w:rPr>
                <w:sz w:val="24"/>
              </w:rPr>
              <w:t>一、</w:t>
            </w:r>
            <w:r>
              <w:rPr>
                <w:rFonts w:hint="eastAsia"/>
                <w:sz w:val="24"/>
              </w:rPr>
              <w:t xml:space="preserve"> 福建省永泰县中医院</w:t>
            </w:r>
            <w:r>
              <w:rPr>
                <w:rFonts w:hint="eastAsia" w:ascii="宋体" w:eastAsia="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2116" w:type="dxa"/>
            <w:noWrap w:val="0"/>
            <w:vAlign w:val="center"/>
          </w:tcPr>
          <w:p>
            <w:pPr>
              <w:pStyle w:val="12"/>
              <w:spacing w:before="97"/>
              <w:ind w:left="614" w:right="487"/>
              <w:rPr>
                <w:rFonts w:hint="eastAsia" w:ascii="宋体" w:eastAsia="宋体"/>
                <w:b/>
                <w:sz w:val="24"/>
              </w:rPr>
            </w:pPr>
            <w:r>
              <w:rPr>
                <w:b/>
                <w:sz w:val="24"/>
              </w:rPr>
              <w:t>医院名称</w:t>
            </w:r>
            <w:r>
              <w:rPr>
                <w:rFonts w:hint="eastAsia" w:ascii="宋体" w:eastAsia="宋体"/>
                <w:b/>
                <w:w w:val="99"/>
                <w:sz w:val="24"/>
              </w:rPr>
              <w:t xml:space="preserve"> </w:t>
            </w:r>
          </w:p>
        </w:tc>
        <w:tc>
          <w:tcPr>
            <w:tcW w:w="3169" w:type="dxa"/>
            <w:noWrap w:val="0"/>
            <w:vAlign w:val="center"/>
          </w:tcPr>
          <w:p>
            <w:pPr>
              <w:pStyle w:val="12"/>
              <w:spacing w:before="97"/>
              <w:ind w:left="303" w:right="175"/>
              <w:rPr>
                <w:rFonts w:hint="eastAsia" w:ascii="宋体" w:eastAsia="宋体"/>
                <w:sz w:val="24"/>
              </w:rPr>
            </w:pPr>
            <w:r>
              <w:rPr>
                <w:rFonts w:hint="eastAsia"/>
                <w:sz w:val="24"/>
              </w:rPr>
              <w:t>福建省永泰县中医院</w:t>
            </w:r>
          </w:p>
        </w:tc>
        <w:tc>
          <w:tcPr>
            <w:tcW w:w="1360" w:type="dxa"/>
            <w:noWrap w:val="0"/>
            <w:vAlign w:val="center"/>
          </w:tcPr>
          <w:p>
            <w:pPr>
              <w:pStyle w:val="12"/>
              <w:spacing w:before="97"/>
              <w:ind w:left="318"/>
              <w:jc w:val="left"/>
              <w:rPr>
                <w:rFonts w:hint="eastAsia" w:ascii="宋体" w:eastAsia="宋体"/>
                <w:b/>
                <w:sz w:val="24"/>
              </w:rPr>
            </w:pPr>
            <w:r>
              <w:rPr>
                <w:b/>
                <w:sz w:val="24"/>
              </w:rPr>
              <w:t>类 型</w:t>
            </w:r>
            <w:r>
              <w:rPr>
                <w:rFonts w:hint="eastAsia" w:ascii="宋体" w:eastAsia="宋体"/>
                <w:b/>
                <w:w w:val="99"/>
                <w:sz w:val="24"/>
              </w:rPr>
              <w:t xml:space="preserve"> </w:t>
            </w:r>
          </w:p>
        </w:tc>
        <w:tc>
          <w:tcPr>
            <w:tcW w:w="2417" w:type="dxa"/>
            <w:noWrap w:val="0"/>
            <w:vAlign w:val="center"/>
          </w:tcPr>
          <w:p>
            <w:pPr>
              <w:pStyle w:val="12"/>
              <w:spacing w:before="97"/>
              <w:ind w:right="597"/>
              <w:jc w:val="both"/>
              <w:rPr>
                <w:rFonts w:hint="eastAsia" w:ascii="宋体" w:eastAsia="宋体"/>
                <w:sz w:val="24"/>
              </w:rPr>
            </w:pPr>
            <w:r>
              <w:rPr>
                <w:rFonts w:hint="eastAsia"/>
                <w:sz w:val="24"/>
                <w:lang w:eastAsia="zh-CN"/>
              </w:rPr>
              <w:t>二</w:t>
            </w:r>
            <w:r>
              <w:rPr>
                <w:sz w:val="24"/>
              </w:rPr>
              <w:t>级甲等</w:t>
            </w:r>
            <w:r>
              <w:rPr>
                <w:rFonts w:hint="eastAsia" w:ascii="宋体" w:eastAsia="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16" w:type="dxa"/>
            <w:noWrap w:val="0"/>
            <w:vAlign w:val="center"/>
          </w:tcPr>
          <w:p>
            <w:pPr>
              <w:pStyle w:val="12"/>
              <w:spacing w:before="98"/>
              <w:ind w:left="614" w:right="487"/>
              <w:rPr>
                <w:rFonts w:hint="eastAsia" w:ascii="宋体" w:eastAsia="宋体"/>
                <w:b/>
                <w:sz w:val="24"/>
              </w:rPr>
            </w:pPr>
            <w:r>
              <w:rPr>
                <w:b/>
                <w:sz w:val="24"/>
              </w:rPr>
              <w:t>医务人员</w:t>
            </w:r>
            <w:r>
              <w:rPr>
                <w:rFonts w:hint="eastAsia" w:ascii="宋体" w:eastAsia="宋体"/>
                <w:b/>
                <w:w w:val="99"/>
                <w:sz w:val="24"/>
              </w:rPr>
              <w:t xml:space="preserve"> </w:t>
            </w:r>
          </w:p>
        </w:tc>
        <w:tc>
          <w:tcPr>
            <w:tcW w:w="3169" w:type="dxa"/>
            <w:noWrap w:val="0"/>
            <w:vAlign w:val="center"/>
          </w:tcPr>
          <w:p>
            <w:pPr>
              <w:pStyle w:val="12"/>
              <w:spacing w:before="98"/>
              <w:ind w:left="183" w:right="175"/>
              <w:rPr>
                <w:sz w:val="24"/>
              </w:rPr>
            </w:pPr>
            <w:r>
              <w:rPr>
                <w:rFonts w:hint="eastAsia"/>
                <w:sz w:val="24"/>
                <w:lang w:val="en-US" w:eastAsia="zh-CN"/>
              </w:rPr>
              <w:t>82</w:t>
            </w:r>
            <w:r>
              <w:rPr>
                <w:sz w:val="24"/>
              </w:rPr>
              <w:t>名</w:t>
            </w:r>
          </w:p>
        </w:tc>
        <w:tc>
          <w:tcPr>
            <w:tcW w:w="1360" w:type="dxa"/>
            <w:noWrap w:val="0"/>
            <w:vAlign w:val="center"/>
          </w:tcPr>
          <w:p>
            <w:pPr>
              <w:pStyle w:val="12"/>
              <w:spacing w:before="98"/>
              <w:ind w:left="318"/>
              <w:jc w:val="left"/>
              <w:rPr>
                <w:b/>
                <w:sz w:val="24"/>
              </w:rPr>
            </w:pPr>
            <w:r>
              <w:rPr>
                <w:b/>
                <w:sz w:val="24"/>
              </w:rPr>
              <w:t>床位数</w:t>
            </w:r>
          </w:p>
        </w:tc>
        <w:tc>
          <w:tcPr>
            <w:tcW w:w="2417" w:type="dxa"/>
            <w:noWrap w:val="0"/>
            <w:vAlign w:val="center"/>
          </w:tcPr>
          <w:p>
            <w:pPr>
              <w:pStyle w:val="12"/>
              <w:spacing w:before="98"/>
              <w:ind w:right="820"/>
              <w:jc w:val="both"/>
              <w:rPr>
                <w:sz w:val="24"/>
              </w:rPr>
            </w:pPr>
            <w:r>
              <w:rPr>
                <w:rFonts w:hint="eastAsia"/>
                <w:sz w:val="24"/>
                <w:lang w:val="en-US" w:eastAsia="zh-CN"/>
              </w:rPr>
              <w:t>120</w:t>
            </w:r>
            <w:r>
              <w:rPr>
                <w:sz w:val="24"/>
              </w:rPr>
              <w:t>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trPr>
        <w:tc>
          <w:tcPr>
            <w:tcW w:w="2116" w:type="dxa"/>
            <w:noWrap w:val="0"/>
            <w:vAlign w:val="center"/>
          </w:tcPr>
          <w:p>
            <w:pPr>
              <w:pStyle w:val="12"/>
              <w:spacing w:before="12"/>
              <w:jc w:val="left"/>
              <w:rPr>
                <w:b/>
                <w:sz w:val="17"/>
              </w:rPr>
            </w:pPr>
          </w:p>
          <w:p>
            <w:pPr>
              <w:pStyle w:val="12"/>
              <w:spacing w:before="0"/>
              <w:ind w:left="614" w:right="486"/>
              <w:rPr>
                <w:rFonts w:hint="eastAsia" w:ascii="宋体" w:eastAsia="宋体"/>
                <w:b/>
                <w:sz w:val="24"/>
              </w:rPr>
            </w:pPr>
            <w:r>
              <w:rPr>
                <w:b/>
                <w:sz w:val="24"/>
              </w:rPr>
              <w:t>科室</w:t>
            </w:r>
            <w:r>
              <w:rPr>
                <w:rFonts w:hint="eastAsia" w:ascii="宋体" w:eastAsia="宋体"/>
                <w:b/>
                <w:w w:val="99"/>
                <w:sz w:val="24"/>
              </w:rPr>
              <w:t xml:space="preserve"> </w:t>
            </w:r>
          </w:p>
        </w:tc>
        <w:tc>
          <w:tcPr>
            <w:tcW w:w="6946" w:type="dxa"/>
            <w:gridSpan w:val="3"/>
            <w:noWrap w:val="0"/>
            <w:vAlign w:val="center"/>
          </w:tcPr>
          <w:p>
            <w:pPr>
              <w:pStyle w:val="12"/>
              <w:spacing w:before="2" w:line="360" w:lineRule="exact"/>
              <w:ind w:left="106" w:right="107"/>
              <w:jc w:val="left"/>
              <w:rPr>
                <w:sz w:val="24"/>
              </w:rPr>
            </w:pPr>
            <w:r>
              <w:rPr>
                <w:sz w:val="24"/>
              </w:rPr>
              <w:t>内科、外科、妇科、</w:t>
            </w:r>
            <w:r>
              <w:rPr>
                <w:rFonts w:hint="eastAsia"/>
                <w:sz w:val="24"/>
                <w:lang w:eastAsia="zh-CN"/>
              </w:rPr>
              <w:t>康复科</w:t>
            </w:r>
            <w:r>
              <w:rPr>
                <w:sz w:val="24"/>
              </w:rPr>
              <w:t>、儿科、耳鼻咽喉等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2116" w:type="dxa"/>
            <w:noWrap w:val="0"/>
            <w:vAlign w:val="center"/>
          </w:tcPr>
          <w:p>
            <w:pPr>
              <w:pStyle w:val="12"/>
              <w:spacing w:before="96"/>
              <w:ind w:left="614" w:right="486"/>
              <w:rPr>
                <w:rFonts w:hint="eastAsia" w:ascii="宋体" w:eastAsia="宋体"/>
                <w:b/>
                <w:sz w:val="24"/>
              </w:rPr>
            </w:pPr>
            <w:r>
              <w:rPr>
                <w:b/>
                <w:sz w:val="24"/>
              </w:rPr>
              <w:t>地址</w:t>
            </w:r>
            <w:r>
              <w:rPr>
                <w:rFonts w:hint="eastAsia" w:ascii="宋体" w:eastAsia="宋体"/>
                <w:b/>
                <w:w w:val="99"/>
                <w:sz w:val="24"/>
              </w:rPr>
              <w:t xml:space="preserve"> </w:t>
            </w:r>
          </w:p>
        </w:tc>
        <w:tc>
          <w:tcPr>
            <w:tcW w:w="6946" w:type="dxa"/>
            <w:gridSpan w:val="3"/>
            <w:noWrap w:val="0"/>
            <w:vAlign w:val="center"/>
          </w:tcPr>
          <w:p>
            <w:pPr>
              <w:pStyle w:val="12"/>
              <w:spacing w:before="96"/>
              <w:jc w:val="left"/>
              <w:rPr>
                <w:sz w:val="24"/>
              </w:rPr>
            </w:pPr>
            <w:r>
              <w:rPr>
                <w:rFonts w:hint="eastAsia"/>
                <w:sz w:val="24"/>
              </w:rPr>
              <w:t>永泰县城峰镇龙头路20号永泰县中医院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16" w:type="dxa"/>
            <w:noWrap w:val="0"/>
            <w:vAlign w:val="center"/>
          </w:tcPr>
          <w:p>
            <w:pPr>
              <w:pStyle w:val="12"/>
              <w:spacing w:before="98"/>
              <w:ind w:left="614" w:right="487"/>
              <w:rPr>
                <w:rFonts w:hint="eastAsia" w:ascii="宋体" w:eastAsia="宋体"/>
                <w:b/>
                <w:sz w:val="24"/>
              </w:rPr>
            </w:pPr>
            <w:r>
              <w:rPr>
                <w:b/>
                <w:sz w:val="24"/>
              </w:rPr>
              <w:t>值班电话</w:t>
            </w:r>
            <w:r>
              <w:rPr>
                <w:rFonts w:hint="eastAsia" w:ascii="宋体" w:eastAsia="宋体"/>
                <w:b/>
                <w:w w:val="99"/>
                <w:sz w:val="24"/>
              </w:rPr>
              <w:t xml:space="preserve"> </w:t>
            </w:r>
          </w:p>
        </w:tc>
        <w:tc>
          <w:tcPr>
            <w:tcW w:w="6946" w:type="dxa"/>
            <w:gridSpan w:val="3"/>
            <w:noWrap w:val="0"/>
            <w:vAlign w:val="center"/>
          </w:tcPr>
          <w:p>
            <w:pPr>
              <w:pStyle w:val="12"/>
              <w:spacing w:before="98"/>
              <w:ind w:right="24"/>
              <w:jc w:val="both"/>
              <w:rPr>
                <w:rFonts w:hint="default" w:eastAsia="仿宋"/>
                <w:sz w:val="24"/>
                <w:lang w:val="en-US" w:eastAsia="zh-CN"/>
              </w:rPr>
            </w:pPr>
            <w:r>
              <w:rPr>
                <w:rFonts w:hint="eastAsia"/>
                <w:sz w:val="24"/>
                <w:lang w:val="en-US" w:eastAsia="zh-CN"/>
              </w:rPr>
              <w:t>0591-24837308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9062" w:type="dxa"/>
            <w:gridSpan w:val="4"/>
            <w:noWrap w:val="0"/>
            <w:vAlign w:val="center"/>
          </w:tcPr>
          <w:p>
            <w:pPr>
              <w:pStyle w:val="12"/>
              <w:spacing w:before="97"/>
              <w:ind w:left="107"/>
              <w:jc w:val="left"/>
              <w:rPr>
                <w:rFonts w:hint="eastAsia" w:ascii="宋体" w:eastAsia="宋体"/>
                <w:sz w:val="24"/>
              </w:rPr>
            </w:pPr>
            <w:r>
              <w:rPr>
                <w:rFonts w:hint="eastAsia"/>
                <w:sz w:val="24"/>
              </w:rPr>
              <w:t>二、</w:t>
            </w:r>
            <w:r>
              <w:rPr>
                <w:rFonts w:hint="eastAsia"/>
                <w:sz w:val="24"/>
                <w:lang w:eastAsia="zh-CN"/>
              </w:rPr>
              <w:t>福建省永泰县医院</w:t>
            </w: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2116" w:type="dxa"/>
            <w:noWrap w:val="0"/>
            <w:vAlign w:val="center"/>
          </w:tcPr>
          <w:p>
            <w:pPr>
              <w:pStyle w:val="12"/>
              <w:spacing w:before="97"/>
              <w:ind w:left="614" w:leftChars="0" w:right="487" w:rightChars="0"/>
              <w:rPr>
                <w:rFonts w:hint="eastAsia" w:ascii="宋体" w:eastAsia="宋体"/>
                <w:b/>
                <w:sz w:val="24"/>
              </w:rPr>
            </w:pPr>
            <w:r>
              <w:rPr>
                <w:b/>
                <w:sz w:val="24"/>
              </w:rPr>
              <w:t>医院名称</w:t>
            </w:r>
            <w:r>
              <w:rPr>
                <w:rFonts w:hint="eastAsia" w:ascii="宋体" w:eastAsia="宋体"/>
                <w:b/>
                <w:w w:val="99"/>
                <w:sz w:val="24"/>
              </w:rPr>
              <w:t xml:space="preserve"> </w:t>
            </w:r>
          </w:p>
        </w:tc>
        <w:tc>
          <w:tcPr>
            <w:tcW w:w="3169" w:type="dxa"/>
            <w:noWrap w:val="0"/>
            <w:vAlign w:val="center"/>
          </w:tcPr>
          <w:p>
            <w:pPr>
              <w:pStyle w:val="12"/>
              <w:spacing w:before="2" w:line="360" w:lineRule="exact"/>
              <w:ind w:left="106" w:right="107"/>
              <w:jc w:val="center"/>
              <w:rPr>
                <w:rFonts w:hint="eastAsia"/>
                <w:sz w:val="24"/>
              </w:rPr>
            </w:pPr>
            <w:r>
              <w:rPr>
                <w:rFonts w:hint="eastAsia"/>
                <w:sz w:val="24"/>
                <w:lang w:eastAsia="zh-CN"/>
              </w:rPr>
              <w:t>福建省永泰县医院</w:t>
            </w:r>
          </w:p>
        </w:tc>
        <w:tc>
          <w:tcPr>
            <w:tcW w:w="1360" w:type="dxa"/>
            <w:noWrap w:val="0"/>
            <w:vAlign w:val="center"/>
          </w:tcPr>
          <w:p>
            <w:pPr>
              <w:pStyle w:val="12"/>
              <w:spacing w:before="2" w:line="360" w:lineRule="exact"/>
              <w:ind w:left="106" w:right="107"/>
              <w:jc w:val="left"/>
              <w:rPr>
                <w:rFonts w:hint="eastAsia"/>
                <w:sz w:val="24"/>
              </w:rPr>
            </w:pPr>
            <w:r>
              <w:rPr>
                <w:sz w:val="24"/>
              </w:rPr>
              <w:t>类 型</w:t>
            </w:r>
            <w:r>
              <w:rPr>
                <w:rFonts w:hint="eastAsia"/>
                <w:sz w:val="24"/>
              </w:rPr>
              <w:t xml:space="preserve"> </w:t>
            </w:r>
          </w:p>
        </w:tc>
        <w:tc>
          <w:tcPr>
            <w:tcW w:w="2417" w:type="dxa"/>
            <w:noWrap w:val="0"/>
            <w:vAlign w:val="center"/>
          </w:tcPr>
          <w:p>
            <w:pPr>
              <w:pStyle w:val="12"/>
              <w:spacing w:before="97"/>
              <w:ind w:right="597" w:rightChars="0"/>
              <w:jc w:val="both"/>
              <w:rPr>
                <w:rFonts w:hint="eastAsia" w:ascii="宋体" w:eastAsia="宋体"/>
                <w:sz w:val="24"/>
              </w:rPr>
            </w:pPr>
            <w:r>
              <w:rPr>
                <w:rFonts w:hint="eastAsia"/>
                <w:sz w:val="24"/>
                <w:lang w:eastAsia="zh-CN"/>
              </w:rPr>
              <w:t>二</w:t>
            </w:r>
            <w:r>
              <w:rPr>
                <w:sz w:val="24"/>
              </w:rPr>
              <w:t>级甲等</w:t>
            </w:r>
            <w:r>
              <w:rPr>
                <w:rFonts w:hint="eastAsia" w:ascii="宋体" w:eastAsia="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2116" w:type="dxa"/>
            <w:noWrap w:val="0"/>
            <w:vAlign w:val="center"/>
          </w:tcPr>
          <w:p>
            <w:pPr>
              <w:pStyle w:val="12"/>
              <w:spacing w:before="98"/>
              <w:ind w:left="614" w:leftChars="0" w:right="487" w:rightChars="0"/>
              <w:rPr>
                <w:rFonts w:hint="eastAsia" w:ascii="宋体" w:eastAsia="宋体"/>
                <w:b/>
                <w:sz w:val="24"/>
              </w:rPr>
            </w:pPr>
            <w:r>
              <w:rPr>
                <w:b/>
                <w:sz w:val="24"/>
              </w:rPr>
              <w:t>医务人员</w:t>
            </w:r>
            <w:r>
              <w:rPr>
                <w:rFonts w:hint="eastAsia" w:ascii="宋体" w:eastAsia="宋体"/>
                <w:b/>
                <w:w w:val="99"/>
                <w:sz w:val="24"/>
              </w:rPr>
              <w:t xml:space="preserve"> </w:t>
            </w:r>
          </w:p>
        </w:tc>
        <w:tc>
          <w:tcPr>
            <w:tcW w:w="3169" w:type="dxa"/>
            <w:noWrap w:val="0"/>
            <w:vAlign w:val="center"/>
          </w:tcPr>
          <w:p>
            <w:pPr>
              <w:pStyle w:val="12"/>
              <w:spacing w:before="98"/>
              <w:ind w:left="183" w:leftChars="0" w:right="175" w:rightChars="0"/>
              <w:rPr>
                <w:sz w:val="24"/>
              </w:rPr>
            </w:pPr>
            <w:r>
              <w:rPr>
                <w:rFonts w:hint="eastAsia"/>
                <w:sz w:val="24"/>
                <w:lang w:val="en-US" w:eastAsia="zh-CN"/>
              </w:rPr>
              <w:t xml:space="preserve"> 530 </w:t>
            </w:r>
            <w:r>
              <w:rPr>
                <w:sz w:val="24"/>
              </w:rPr>
              <w:t>名</w:t>
            </w:r>
          </w:p>
        </w:tc>
        <w:tc>
          <w:tcPr>
            <w:tcW w:w="1360" w:type="dxa"/>
            <w:noWrap w:val="0"/>
            <w:vAlign w:val="center"/>
          </w:tcPr>
          <w:p>
            <w:pPr>
              <w:pStyle w:val="12"/>
              <w:spacing w:before="98"/>
              <w:ind w:left="318" w:leftChars="0"/>
              <w:jc w:val="left"/>
              <w:rPr>
                <w:b/>
                <w:sz w:val="24"/>
              </w:rPr>
            </w:pPr>
            <w:r>
              <w:rPr>
                <w:b/>
                <w:sz w:val="24"/>
              </w:rPr>
              <w:t>床位数</w:t>
            </w:r>
          </w:p>
        </w:tc>
        <w:tc>
          <w:tcPr>
            <w:tcW w:w="2417" w:type="dxa"/>
            <w:noWrap w:val="0"/>
            <w:vAlign w:val="center"/>
          </w:tcPr>
          <w:p>
            <w:pPr>
              <w:pStyle w:val="12"/>
              <w:spacing w:before="98"/>
              <w:ind w:right="820" w:rightChars="0"/>
              <w:jc w:val="both"/>
              <w:rPr>
                <w:sz w:val="24"/>
              </w:rPr>
            </w:pPr>
            <w:r>
              <w:rPr>
                <w:rFonts w:hint="eastAsia"/>
                <w:sz w:val="24"/>
                <w:lang w:val="en-US" w:eastAsia="zh-CN"/>
              </w:rPr>
              <w:t>480</w:t>
            </w:r>
            <w:r>
              <w:rPr>
                <w:sz w:val="24"/>
              </w:rPr>
              <w:t xml:space="preserve"> 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1" w:hRule="atLeast"/>
        </w:trPr>
        <w:tc>
          <w:tcPr>
            <w:tcW w:w="2116" w:type="dxa"/>
            <w:noWrap w:val="0"/>
            <w:vAlign w:val="center"/>
          </w:tcPr>
          <w:p>
            <w:pPr>
              <w:pStyle w:val="12"/>
              <w:spacing w:before="0"/>
              <w:jc w:val="left"/>
              <w:rPr>
                <w:b/>
                <w:sz w:val="24"/>
              </w:rPr>
            </w:pPr>
          </w:p>
          <w:p>
            <w:pPr>
              <w:pStyle w:val="12"/>
              <w:spacing w:before="0"/>
              <w:jc w:val="left"/>
              <w:rPr>
                <w:b/>
                <w:sz w:val="24"/>
              </w:rPr>
            </w:pPr>
          </w:p>
          <w:p>
            <w:pPr>
              <w:pStyle w:val="12"/>
              <w:spacing w:before="3"/>
              <w:jc w:val="left"/>
              <w:rPr>
                <w:b/>
                <w:sz w:val="26"/>
              </w:rPr>
            </w:pPr>
          </w:p>
          <w:p>
            <w:pPr>
              <w:pStyle w:val="12"/>
              <w:spacing w:before="0"/>
              <w:ind w:left="614" w:right="486"/>
              <w:rPr>
                <w:rFonts w:hint="eastAsia" w:ascii="宋体" w:eastAsia="宋体"/>
                <w:b/>
                <w:sz w:val="24"/>
              </w:rPr>
            </w:pPr>
            <w:r>
              <w:rPr>
                <w:b/>
                <w:sz w:val="24"/>
              </w:rPr>
              <w:t>科室</w:t>
            </w:r>
            <w:r>
              <w:rPr>
                <w:rFonts w:hint="eastAsia" w:ascii="宋体" w:eastAsia="宋体"/>
                <w:b/>
                <w:w w:val="99"/>
                <w:sz w:val="24"/>
              </w:rPr>
              <w:t xml:space="preserve"> </w:t>
            </w:r>
          </w:p>
        </w:tc>
        <w:tc>
          <w:tcPr>
            <w:tcW w:w="694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pacing w:val="-6"/>
                <w:kern w:val="2"/>
                <w:sz w:val="24"/>
                <w:lang w:val="zh-CN" w:eastAsia="zh-CN" w:bidi="zh-CN"/>
              </w:rPr>
            </w:pPr>
            <w:r>
              <w:rPr>
                <w:rFonts w:hint="eastAsia" w:ascii="仿宋" w:hAnsi="仿宋" w:eastAsia="仿宋" w:cs="仿宋"/>
                <w:b w:val="0"/>
                <w:bCs w:val="0"/>
                <w:spacing w:val="-6"/>
                <w:kern w:val="2"/>
                <w:sz w:val="24"/>
                <w:lang w:val="zh-CN" w:eastAsia="zh-CN" w:bidi="zh-CN"/>
              </w:rPr>
              <w:t>预防保健科/全科医疗科/内科/外科：骨科专业；泌尿外科专业/妇产科；生殖健康与不孕症专业/儿科/小儿外科/眼科/耳鼻咽喉科/口腔科；口腔种植专业</w:t>
            </w:r>
            <w:r>
              <w:rPr>
                <w:rFonts w:hint="eastAsia" w:ascii="仿宋" w:hAnsi="仿宋" w:eastAsia="仿宋" w:cs="仿宋"/>
                <w:b w:val="0"/>
                <w:bCs w:val="0"/>
                <w:spacing w:val="-6"/>
                <w:kern w:val="2"/>
                <w:sz w:val="24"/>
                <w:lang w:val="en-US" w:eastAsia="zh-CN" w:bidi="zh-CN"/>
              </w:rPr>
              <w:t xml:space="preserve"> </w:t>
            </w:r>
            <w:r>
              <w:rPr>
                <w:rFonts w:hint="eastAsia" w:ascii="仿宋" w:hAnsi="仿宋" w:eastAsia="仿宋" w:cs="仿宋"/>
                <w:b w:val="0"/>
                <w:bCs w:val="0"/>
                <w:spacing w:val="-6"/>
                <w:kern w:val="2"/>
                <w:sz w:val="24"/>
                <w:lang w:val="zh-CN" w:eastAsia="zh-CN" w:bidi="zh-CN"/>
              </w:rPr>
              <w:t>/皮肤科；性传播疾病专业/精神科/传染科/结核病科/肿瘤科/急诊医学科/康复医学科/运动医学科/麻醉科/重症医学科/医学检验科；临床体液、血液专业；临床微生物学专业；临床化学检验专业；临床免疫、血清学专业；临床细胞分子遗传学专业；其他/病理科/医学影像科/中医科/计划生育技术服务项目：放、取宫内节育器、人工流产、药物流产、钳刮术、中期引产、输卵（精）管绝育、</w:t>
            </w:r>
            <w:r>
              <w:rPr>
                <w:rFonts w:hint="eastAsia" w:ascii="仿宋" w:hAnsi="仿宋" w:eastAsia="仿宋" w:cs="仿宋"/>
                <w:b w:val="0"/>
                <w:bCs w:val="0"/>
                <w:spacing w:val="-6"/>
                <w:kern w:val="2"/>
                <w:sz w:val="24"/>
                <w:lang w:val="en-US" w:eastAsia="zh-CN" w:bidi="zh-CN"/>
              </w:rPr>
              <w:t xml:space="preserve"> </w:t>
            </w:r>
            <w:r>
              <w:rPr>
                <w:rFonts w:hint="eastAsia" w:ascii="仿宋" w:hAnsi="仿宋" w:eastAsia="仿宋" w:cs="仿宋"/>
                <w:b w:val="0"/>
                <w:bCs w:val="0"/>
                <w:spacing w:val="-6"/>
                <w:kern w:val="2"/>
                <w:sz w:val="24"/>
                <w:lang w:val="zh-CN" w:eastAsia="zh-CN" w:bidi="zh-CN"/>
              </w:rPr>
              <w:t>吻合术****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pacing w:val="-6"/>
                <w:kern w:val="2"/>
                <w:sz w:val="24"/>
                <w:lang w:val="zh-CN" w:eastAsia="zh-CN" w:bidi="zh-CN"/>
              </w:rPr>
            </w:pPr>
            <w:r>
              <w:rPr>
                <w:rFonts w:hint="eastAsia" w:ascii="仿宋" w:hAnsi="仿宋" w:eastAsia="仿宋" w:cs="仿宋"/>
                <w:b w:val="0"/>
                <w:bCs w:val="0"/>
                <w:spacing w:val="-6"/>
                <w:kern w:val="2"/>
                <w:sz w:val="24"/>
                <w:lang w:val="zh-CN" w:eastAsia="zh-CN" w:bidi="zh-CN"/>
              </w:rPr>
              <w:t>肾内科：血液速析/外科一震滇碎石/体检科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pacing w:val="-6"/>
                <w:kern w:val="2"/>
                <w:sz w:val="24"/>
                <w:lang w:val="zh-CN" w:eastAsia="zh-CN" w:bidi="zh-CN"/>
              </w:rPr>
            </w:pPr>
            <w:r>
              <w:rPr>
                <w:rFonts w:hint="eastAsia" w:ascii="仿宋" w:hAnsi="仿宋" w:eastAsia="仿宋" w:cs="仿宋"/>
                <w:b w:val="0"/>
                <w:bCs w:val="0"/>
                <w:spacing w:val="-6"/>
                <w:kern w:val="2"/>
                <w:sz w:val="24"/>
                <w:lang w:val="zh-CN" w:eastAsia="zh-CN" w:bidi="zh-CN"/>
              </w:rPr>
              <w:t>内科；胃肠镜检查/骨科：人工关节置换技术</w:t>
            </w:r>
          </w:p>
          <w:p>
            <w:pPr>
              <w:pStyle w:val="12"/>
              <w:spacing w:before="1" w:line="289" w:lineRule="exact"/>
              <w:ind w:left="106"/>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trPr>
        <w:tc>
          <w:tcPr>
            <w:tcW w:w="2116" w:type="dxa"/>
            <w:noWrap w:val="0"/>
            <w:vAlign w:val="center"/>
          </w:tcPr>
          <w:p>
            <w:pPr>
              <w:pStyle w:val="12"/>
              <w:spacing w:before="12"/>
              <w:jc w:val="left"/>
              <w:rPr>
                <w:b/>
                <w:sz w:val="17"/>
              </w:rPr>
            </w:pPr>
          </w:p>
          <w:p>
            <w:pPr>
              <w:pStyle w:val="12"/>
              <w:spacing w:before="0"/>
              <w:ind w:left="614" w:right="486"/>
              <w:rPr>
                <w:rFonts w:hint="eastAsia" w:ascii="宋体" w:eastAsia="宋体"/>
                <w:b/>
                <w:sz w:val="24"/>
              </w:rPr>
            </w:pPr>
            <w:r>
              <w:rPr>
                <w:b/>
                <w:sz w:val="24"/>
              </w:rPr>
              <w:t>地址</w:t>
            </w:r>
            <w:r>
              <w:rPr>
                <w:rFonts w:hint="eastAsia" w:ascii="宋体" w:eastAsia="宋体"/>
                <w:b/>
                <w:w w:val="99"/>
                <w:sz w:val="24"/>
              </w:rPr>
              <w:t xml:space="preserve"> </w:t>
            </w:r>
          </w:p>
        </w:tc>
        <w:tc>
          <w:tcPr>
            <w:tcW w:w="6946" w:type="dxa"/>
            <w:gridSpan w:val="3"/>
            <w:noWrap w:val="0"/>
            <w:vAlign w:val="center"/>
          </w:tcPr>
          <w:p>
            <w:pPr>
              <w:pStyle w:val="12"/>
              <w:spacing w:before="52" w:line="289" w:lineRule="exact"/>
              <w:ind w:left="30" w:right="24"/>
              <w:rPr>
                <w:rFonts w:hint="default"/>
                <w:sz w:val="24"/>
                <w:lang w:val="en-US"/>
              </w:rPr>
            </w:pPr>
            <w:r>
              <w:rPr>
                <w:rFonts w:hint="eastAsia"/>
                <w:sz w:val="24"/>
                <w:lang w:eastAsia="zh-CN"/>
              </w:rPr>
              <w:t>永泰县樟城镇富裕新村</w:t>
            </w:r>
            <w:r>
              <w:rPr>
                <w:rFonts w:hint="eastAsia"/>
                <w:sz w:val="24"/>
                <w:lang w:val="en-US" w:eastAsia="zh-CN"/>
              </w:rPr>
              <w:t>107号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0" w:hRule="atLeast"/>
        </w:trPr>
        <w:tc>
          <w:tcPr>
            <w:tcW w:w="2116" w:type="dxa"/>
            <w:noWrap w:val="0"/>
            <w:vAlign w:val="center"/>
          </w:tcPr>
          <w:p>
            <w:pPr>
              <w:pStyle w:val="12"/>
              <w:spacing w:before="98"/>
              <w:ind w:left="614" w:right="487"/>
              <w:rPr>
                <w:rFonts w:hint="eastAsia" w:ascii="宋体" w:eastAsia="宋体"/>
                <w:b/>
                <w:sz w:val="24"/>
              </w:rPr>
            </w:pPr>
            <w:r>
              <w:rPr>
                <w:b/>
                <w:sz w:val="24"/>
              </w:rPr>
              <w:t>值班电话</w:t>
            </w:r>
            <w:r>
              <w:rPr>
                <w:rFonts w:hint="eastAsia" w:ascii="宋体" w:eastAsia="宋体"/>
                <w:b/>
                <w:w w:val="99"/>
                <w:sz w:val="24"/>
              </w:rPr>
              <w:t xml:space="preserve"> </w:t>
            </w:r>
          </w:p>
        </w:tc>
        <w:tc>
          <w:tcPr>
            <w:tcW w:w="6946" w:type="dxa"/>
            <w:gridSpan w:val="3"/>
            <w:noWrap w:val="0"/>
            <w:vAlign w:val="center"/>
          </w:tcPr>
          <w:p>
            <w:pPr>
              <w:pStyle w:val="12"/>
              <w:spacing w:before="98"/>
              <w:ind w:left="510" w:right="24"/>
              <w:rPr>
                <w:rFonts w:hint="default" w:eastAsia="仿宋"/>
                <w:sz w:val="24"/>
                <w:lang w:val="en-US" w:eastAsia="zh-CN"/>
              </w:rPr>
            </w:pPr>
            <w:r>
              <w:rPr>
                <w:rFonts w:hint="eastAsia"/>
                <w:sz w:val="24"/>
                <w:lang w:val="en-US" w:eastAsia="zh-CN"/>
              </w:rPr>
              <w:t>0591-24832295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9062" w:type="dxa"/>
            <w:gridSpan w:val="4"/>
            <w:noWrap w:val="0"/>
            <w:vAlign w:val="center"/>
          </w:tcPr>
          <w:p>
            <w:pPr>
              <w:pStyle w:val="12"/>
              <w:spacing w:before="97"/>
              <w:ind w:left="107"/>
              <w:jc w:val="left"/>
              <w:rPr>
                <w:rFonts w:hint="eastAsia" w:ascii="宋体" w:eastAsia="宋体"/>
                <w:sz w:val="24"/>
              </w:rPr>
            </w:pPr>
            <w:r>
              <w:rPr>
                <w:sz w:val="24"/>
              </w:rPr>
              <w:t>三、</w:t>
            </w:r>
            <w:r>
              <w:rPr>
                <w:rFonts w:hint="eastAsia"/>
                <w:sz w:val="24"/>
                <w:lang w:val="en-US" w:eastAsia="zh-CN"/>
              </w:rPr>
              <w:t>永泰县妇幼保健院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16" w:type="dxa"/>
            <w:noWrap w:val="0"/>
            <w:vAlign w:val="center"/>
          </w:tcPr>
          <w:p>
            <w:pPr>
              <w:pStyle w:val="12"/>
              <w:spacing w:before="98"/>
              <w:ind w:left="614" w:right="487"/>
              <w:rPr>
                <w:rFonts w:hint="eastAsia" w:ascii="宋体" w:eastAsia="宋体"/>
                <w:b/>
                <w:sz w:val="24"/>
              </w:rPr>
            </w:pPr>
            <w:r>
              <w:rPr>
                <w:b/>
                <w:sz w:val="24"/>
              </w:rPr>
              <w:t>医院名称</w:t>
            </w:r>
            <w:r>
              <w:rPr>
                <w:rFonts w:hint="eastAsia" w:ascii="宋体" w:eastAsia="宋体"/>
                <w:b/>
                <w:w w:val="99"/>
                <w:sz w:val="24"/>
              </w:rPr>
              <w:t xml:space="preserve"> </w:t>
            </w:r>
          </w:p>
        </w:tc>
        <w:tc>
          <w:tcPr>
            <w:tcW w:w="3169" w:type="dxa"/>
            <w:noWrap w:val="0"/>
            <w:vAlign w:val="center"/>
          </w:tcPr>
          <w:p>
            <w:pPr>
              <w:pStyle w:val="12"/>
              <w:spacing w:before="98"/>
              <w:ind w:left="303" w:right="175"/>
              <w:rPr>
                <w:rFonts w:hint="eastAsia" w:ascii="宋体" w:eastAsia="宋体"/>
                <w:sz w:val="24"/>
              </w:rPr>
            </w:pPr>
            <w:r>
              <w:rPr>
                <w:rFonts w:hint="eastAsia"/>
                <w:sz w:val="24"/>
                <w:lang w:val="en-US" w:eastAsia="zh-CN"/>
              </w:rPr>
              <w:t>永泰县妇幼保健院</w:t>
            </w:r>
          </w:p>
        </w:tc>
        <w:tc>
          <w:tcPr>
            <w:tcW w:w="1360" w:type="dxa"/>
            <w:noWrap w:val="0"/>
            <w:vAlign w:val="center"/>
          </w:tcPr>
          <w:p>
            <w:pPr>
              <w:pStyle w:val="12"/>
              <w:spacing w:before="98"/>
              <w:ind w:left="318"/>
              <w:jc w:val="left"/>
              <w:rPr>
                <w:rFonts w:hint="eastAsia" w:ascii="宋体" w:eastAsia="宋体"/>
                <w:b/>
                <w:sz w:val="24"/>
              </w:rPr>
            </w:pPr>
            <w:r>
              <w:rPr>
                <w:b/>
                <w:sz w:val="24"/>
              </w:rPr>
              <w:t>类 型</w:t>
            </w:r>
            <w:r>
              <w:rPr>
                <w:rFonts w:hint="eastAsia" w:ascii="宋体" w:eastAsia="宋体"/>
                <w:b/>
                <w:w w:val="99"/>
                <w:sz w:val="24"/>
              </w:rPr>
              <w:t xml:space="preserve"> </w:t>
            </w:r>
          </w:p>
        </w:tc>
        <w:tc>
          <w:tcPr>
            <w:tcW w:w="2417" w:type="dxa"/>
            <w:noWrap w:val="0"/>
            <w:vAlign w:val="center"/>
          </w:tcPr>
          <w:p>
            <w:pPr>
              <w:pStyle w:val="12"/>
              <w:spacing w:before="98"/>
              <w:ind w:right="597"/>
              <w:jc w:val="both"/>
              <w:rPr>
                <w:rFonts w:hint="eastAsia" w:ascii="宋体" w:eastAsia="宋体"/>
                <w:sz w:val="24"/>
              </w:rPr>
            </w:pPr>
            <w:r>
              <w:rPr>
                <w:rFonts w:hint="eastAsia"/>
                <w:sz w:val="24"/>
                <w:lang w:val="en-US" w:eastAsia="zh-CN"/>
              </w:rPr>
              <w:t>未定级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16" w:type="dxa"/>
            <w:noWrap w:val="0"/>
            <w:vAlign w:val="center"/>
          </w:tcPr>
          <w:p>
            <w:pPr>
              <w:pStyle w:val="12"/>
              <w:spacing w:before="98"/>
              <w:ind w:left="614" w:right="487"/>
              <w:rPr>
                <w:rFonts w:hint="eastAsia" w:ascii="宋体" w:eastAsia="宋体"/>
                <w:b/>
                <w:sz w:val="24"/>
              </w:rPr>
            </w:pPr>
            <w:r>
              <w:rPr>
                <w:b/>
                <w:sz w:val="24"/>
              </w:rPr>
              <w:t>医务人员</w:t>
            </w:r>
            <w:r>
              <w:rPr>
                <w:rFonts w:hint="eastAsia" w:ascii="宋体" w:eastAsia="宋体"/>
                <w:b/>
                <w:w w:val="99"/>
                <w:sz w:val="24"/>
              </w:rPr>
              <w:t xml:space="preserve"> </w:t>
            </w:r>
          </w:p>
        </w:tc>
        <w:tc>
          <w:tcPr>
            <w:tcW w:w="3169" w:type="dxa"/>
            <w:noWrap w:val="0"/>
            <w:vAlign w:val="center"/>
          </w:tcPr>
          <w:p>
            <w:pPr>
              <w:pStyle w:val="12"/>
              <w:spacing w:before="98"/>
              <w:ind w:left="183" w:right="175"/>
              <w:rPr>
                <w:sz w:val="24"/>
              </w:rPr>
            </w:pPr>
            <w:r>
              <w:rPr>
                <w:rFonts w:hint="eastAsia"/>
                <w:sz w:val="24"/>
              </w:rPr>
              <w:t>48</w:t>
            </w:r>
            <w:r>
              <w:rPr>
                <w:sz w:val="24"/>
              </w:rPr>
              <w:t>名</w:t>
            </w:r>
          </w:p>
        </w:tc>
        <w:tc>
          <w:tcPr>
            <w:tcW w:w="1360" w:type="dxa"/>
            <w:noWrap w:val="0"/>
            <w:vAlign w:val="center"/>
          </w:tcPr>
          <w:p>
            <w:pPr>
              <w:pStyle w:val="12"/>
              <w:spacing w:before="98"/>
              <w:ind w:left="318"/>
              <w:jc w:val="left"/>
              <w:rPr>
                <w:b/>
                <w:sz w:val="24"/>
              </w:rPr>
            </w:pPr>
            <w:r>
              <w:rPr>
                <w:b/>
                <w:sz w:val="24"/>
              </w:rPr>
              <w:t>床位数</w:t>
            </w:r>
          </w:p>
        </w:tc>
        <w:tc>
          <w:tcPr>
            <w:tcW w:w="2417" w:type="dxa"/>
            <w:noWrap w:val="0"/>
            <w:vAlign w:val="center"/>
          </w:tcPr>
          <w:p>
            <w:pPr>
              <w:pStyle w:val="12"/>
              <w:spacing w:before="98"/>
              <w:ind w:right="820"/>
              <w:jc w:val="both"/>
              <w:rPr>
                <w:sz w:val="24"/>
              </w:rPr>
            </w:pPr>
            <w:r>
              <w:rPr>
                <w:rFonts w:hint="eastAsia"/>
                <w:sz w:val="24"/>
                <w:lang w:val="en-US" w:eastAsia="zh-CN"/>
              </w:rPr>
              <w:t>0</w:t>
            </w:r>
            <w:r>
              <w:rPr>
                <w:sz w:val="24"/>
              </w:rPr>
              <w:t>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trPr>
        <w:tc>
          <w:tcPr>
            <w:tcW w:w="2116" w:type="dxa"/>
            <w:noWrap w:val="0"/>
            <w:vAlign w:val="center"/>
          </w:tcPr>
          <w:p>
            <w:pPr>
              <w:pStyle w:val="12"/>
              <w:spacing w:before="0"/>
              <w:jc w:val="left"/>
              <w:rPr>
                <w:b/>
                <w:sz w:val="32"/>
              </w:rPr>
            </w:pPr>
          </w:p>
          <w:p>
            <w:pPr>
              <w:pStyle w:val="12"/>
              <w:spacing w:before="0"/>
              <w:ind w:left="614" w:right="486"/>
              <w:rPr>
                <w:rFonts w:hint="eastAsia" w:ascii="宋体" w:eastAsia="宋体"/>
                <w:b/>
                <w:sz w:val="24"/>
              </w:rPr>
            </w:pPr>
            <w:r>
              <w:rPr>
                <w:b/>
                <w:sz w:val="24"/>
              </w:rPr>
              <w:t>科室</w:t>
            </w:r>
            <w:r>
              <w:rPr>
                <w:rFonts w:hint="eastAsia" w:ascii="宋体" w:eastAsia="宋体"/>
                <w:b/>
                <w:w w:val="99"/>
                <w:sz w:val="24"/>
              </w:rPr>
              <w:t xml:space="preserve"> </w:t>
            </w:r>
          </w:p>
        </w:tc>
        <w:tc>
          <w:tcPr>
            <w:tcW w:w="6946" w:type="dxa"/>
            <w:gridSpan w:val="3"/>
            <w:noWrap w:val="0"/>
            <w:vAlign w:val="center"/>
          </w:tcPr>
          <w:p>
            <w:pPr>
              <w:pStyle w:val="12"/>
              <w:spacing w:before="2" w:line="360" w:lineRule="exact"/>
              <w:ind w:left="106" w:right="107" w:firstLine="480"/>
              <w:jc w:val="both"/>
              <w:rPr>
                <w:sz w:val="24"/>
              </w:rPr>
            </w:pPr>
            <w:r>
              <w:rPr>
                <w:rFonts w:hint="eastAsia"/>
                <w:sz w:val="24"/>
              </w:rPr>
              <w:t>妇女保健科、妇科、儿科、儿童保健科、中医科、出生缺陷综合防控科、计划生育门诊、预防接种门诊、超声科、检验科、药剂科等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2116" w:type="dxa"/>
            <w:noWrap w:val="0"/>
            <w:vAlign w:val="center"/>
          </w:tcPr>
          <w:p>
            <w:pPr>
              <w:pStyle w:val="12"/>
              <w:spacing w:before="95"/>
              <w:ind w:left="614" w:right="486"/>
              <w:rPr>
                <w:rFonts w:hint="eastAsia" w:ascii="宋体" w:eastAsia="宋体"/>
                <w:b/>
                <w:sz w:val="24"/>
              </w:rPr>
            </w:pPr>
            <w:r>
              <w:rPr>
                <w:b/>
                <w:sz w:val="24"/>
              </w:rPr>
              <w:t>地址</w:t>
            </w:r>
            <w:r>
              <w:rPr>
                <w:rFonts w:hint="eastAsia" w:ascii="宋体" w:eastAsia="宋体"/>
                <w:b/>
                <w:w w:val="99"/>
                <w:sz w:val="24"/>
              </w:rPr>
              <w:t xml:space="preserve"> </w:t>
            </w:r>
          </w:p>
        </w:tc>
        <w:tc>
          <w:tcPr>
            <w:tcW w:w="6946" w:type="dxa"/>
            <w:gridSpan w:val="3"/>
            <w:noWrap w:val="0"/>
            <w:vAlign w:val="center"/>
          </w:tcPr>
          <w:p>
            <w:pPr>
              <w:pStyle w:val="12"/>
              <w:spacing w:before="95"/>
              <w:ind w:left="1671"/>
              <w:jc w:val="left"/>
              <w:rPr>
                <w:sz w:val="24"/>
              </w:rPr>
            </w:pPr>
            <w:r>
              <w:rPr>
                <w:rFonts w:hint="eastAsia"/>
                <w:sz w:val="24"/>
              </w:rPr>
              <w:t>永泰县城峰镇刘岐大道5号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2116" w:type="dxa"/>
            <w:noWrap w:val="0"/>
            <w:vAlign w:val="center"/>
          </w:tcPr>
          <w:p>
            <w:pPr>
              <w:pStyle w:val="12"/>
              <w:spacing w:before="97"/>
              <w:ind w:left="614" w:right="487"/>
              <w:rPr>
                <w:rFonts w:hint="eastAsia" w:ascii="宋体" w:eastAsia="宋体"/>
                <w:b/>
                <w:sz w:val="24"/>
              </w:rPr>
            </w:pPr>
            <w:r>
              <w:rPr>
                <w:b/>
                <w:sz w:val="24"/>
              </w:rPr>
              <w:t>值班电话</w:t>
            </w:r>
            <w:r>
              <w:rPr>
                <w:rFonts w:hint="eastAsia" w:ascii="宋体" w:eastAsia="宋体"/>
                <w:b/>
                <w:w w:val="99"/>
                <w:sz w:val="24"/>
              </w:rPr>
              <w:t xml:space="preserve"> </w:t>
            </w:r>
          </w:p>
        </w:tc>
        <w:tc>
          <w:tcPr>
            <w:tcW w:w="6946" w:type="dxa"/>
            <w:gridSpan w:val="3"/>
            <w:noWrap w:val="0"/>
            <w:vAlign w:val="center"/>
          </w:tcPr>
          <w:p>
            <w:pPr>
              <w:pStyle w:val="12"/>
              <w:spacing w:before="97"/>
              <w:ind w:left="2031"/>
              <w:jc w:val="left"/>
              <w:rPr>
                <w:sz w:val="24"/>
              </w:rPr>
            </w:pPr>
            <w:r>
              <w:rPr>
                <w:rFonts w:hint="eastAsia"/>
                <w:sz w:val="24"/>
              </w:rPr>
              <w:t>0591-24832306</w:t>
            </w:r>
          </w:p>
        </w:tc>
      </w:tr>
    </w:tbl>
    <w:p>
      <w:pPr>
        <w:numPr>
          <w:ilvl w:val="0"/>
          <w:numId w:val="0"/>
        </w:numPr>
        <w:tabs>
          <w:tab w:val="left" w:pos="1655"/>
          <w:tab w:val="left" w:pos="1656"/>
        </w:tabs>
        <w:spacing w:before="56" w:after="22" w:line="240" w:lineRule="auto"/>
        <w:ind w:right="0" w:rightChars="0"/>
        <w:jc w:val="both"/>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spacing w:before="40"/>
        <w:ind w:right="0"/>
        <w:jc w:val="left"/>
        <w:rPr>
          <w:sz w:val="28"/>
        </w:rPr>
      </w:pPr>
    </w:p>
    <w:p>
      <w:pPr>
        <w:tabs>
          <w:tab w:val="left" w:pos="999"/>
          <w:tab w:val="center" w:pos="4153"/>
        </w:tabs>
        <w:spacing w:before="241"/>
        <w:ind w:left="158" w:right="0" w:firstLine="0"/>
        <w:jc w:val="left"/>
        <w:rPr>
          <w:rFonts w:hint="eastAsia" w:eastAsia="仿宋_GB2312"/>
          <w:sz w:val="28"/>
          <w:lang w:eastAsia="zh-CN"/>
        </w:rPr>
      </w:pPr>
    </w:p>
    <w:p>
      <w:pPr>
        <w:pStyle w:val="3"/>
        <w:ind w:left="0"/>
        <w:rPr>
          <w:sz w:val="28"/>
        </w:rPr>
      </w:pPr>
    </w:p>
    <w:p>
      <w:pPr>
        <w:pStyle w:val="3"/>
        <w:ind w:left="0"/>
        <w:rPr>
          <w:sz w:val="28"/>
        </w:rPr>
      </w:pPr>
    </w:p>
    <w:p>
      <w:pPr>
        <w:pStyle w:val="3"/>
        <w:ind w:left="0"/>
        <w:rPr>
          <w:sz w:val="28"/>
        </w:rPr>
      </w:pPr>
    </w:p>
    <w:p>
      <w:pPr>
        <w:pStyle w:val="3"/>
        <w:ind w:left="0"/>
        <w:rPr>
          <w:sz w:val="28"/>
        </w:rPr>
      </w:pPr>
    </w:p>
    <w:p>
      <w:pPr>
        <w:pStyle w:val="3"/>
        <w:ind w:left="0"/>
        <w:rPr>
          <w:sz w:val="28"/>
        </w:rPr>
      </w:pPr>
    </w:p>
    <w:p>
      <w:pPr>
        <w:pStyle w:val="3"/>
        <w:spacing w:before="6"/>
        <w:ind w:left="0"/>
        <w:rPr>
          <w:sz w:val="39"/>
        </w:rPr>
      </w:pPr>
    </w:p>
    <w:p>
      <w:pPr>
        <w:spacing w:before="1"/>
        <w:ind w:left="299" w:right="418" w:firstLine="0"/>
        <w:jc w:val="center"/>
        <w:outlineLvl w:val="0"/>
        <w:rPr>
          <w:rFonts w:hint="eastAsia" w:ascii="微软雅黑" w:eastAsia="微软雅黑"/>
          <w:b/>
          <w:sz w:val="52"/>
        </w:rPr>
      </w:pPr>
      <w:bookmarkStart w:id="89" w:name="_Toc4032"/>
      <w:r>
        <w:rPr>
          <w:rFonts w:hint="eastAsia" w:ascii="微软雅黑" w:eastAsia="微软雅黑"/>
          <w:b/>
          <w:sz w:val="52"/>
          <w:lang w:val="en-US" w:eastAsia="zh-CN"/>
        </w:rPr>
        <w:t>永泰县烟花爆竹事故应急预案</w:t>
      </w:r>
      <w:bookmarkEnd w:id="89"/>
    </w:p>
    <w:p>
      <w:pPr>
        <w:bidi w:val="0"/>
        <w:jc w:val="both"/>
        <w:rPr>
          <w:rFonts w:hint="eastAsia"/>
          <w:b/>
          <w:bCs/>
          <w:sz w:val="40"/>
          <w:szCs w:val="40"/>
          <w:lang w:val="en-US" w:eastAsia="zh-CN"/>
        </w:rPr>
      </w:pPr>
    </w:p>
    <w:p>
      <w:pPr>
        <w:pStyle w:val="4"/>
        <w:rPr>
          <w:rFonts w:hint="eastAsia"/>
          <w:b/>
          <w:bCs/>
          <w:sz w:val="40"/>
          <w:szCs w:val="40"/>
          <w:lang w:val="en-US" w:eastAsia="zh-CN"/>
        </w:rPr>
      </w:pPr>
    </w:p>
    <w:p>
      <w:pPr>
        <w:pStyle w:val="4"/>
        <w:rPr>
          <w:rFonts w:hint="eastAsia"/>
          <w:b/>
          <w:bCs/>
          <w:sz w:val="40"/>
          <w:szCs w:val="40"/>
          <w:lang w:val="en-US" w:eastAsia="zh-CN"/>
        </w:rPr>
      </w:pPr>
    </w:p>
    <w:p>
      <w:pPr>
        <w:pStyle w:val="4"/>
        <w:rPr>
          <w:rFonts w:hint="eastAsia"/>
          <w:b/>
          <w:bCs/>
          <w:sz w:val="40"/>
          <w:szCs w:val="40"/>
          <w:lang w:val="en-US" w:eastAsia="zh-CN"/>
        </w:rPr>
      </w:pPr>
    </w:p>
    <w:p>
      <w:pPr>
        <w:pStyle w:val="4"/>
        <w:rPr>
          <w:rFonts w:hint="eastAsia"/>
          <w:b/>
          <w:bCs/>
          <w:sz w:val="40"/>
          <w:szCs w:val="40"/>
          <w:lang w:val="en-US" w:eastAsia="zh-CN"/>
        </w:rPr>
      </w:pPr>
    </w:p>
    <w:p>
      <w:pPr>
        <w:pStyle w:val="4"/>
        <w:rPr>
          <w:rFonts w:hint="eastAsia"/>
          <w:b/>
          <w:bCs/>
          <w:sz w:val="40"/>
          <w:szCs w:val="40"/>
          <w:lang w:val="en-US" w:eastAsia="zh-CN"/>
        </w:rPr>
      </w:pPr>
    </w:p>
    <w:p>
      <w:pPr>
        <w:pStyle w:val="4"/>
        <w:rPr>
          <w:rFonts w:hint="eastAsia"/>
          <w:b/>
          <w:bCs/>
          <w:sz w:val="40"/>
          <w:szCs w:val="40"/>
          <w:lang w:val="en-US" w:eastAsia="zh-CN"/>
        </w:rPr>
      </w:pPr>
    </w:p>
    <w:p>
      <w:pPr>
        <w:pStyle w:val="4"/>
        <w:rPr>
          <w:rFonts w:hint="eastAsia"/>
          <w:b/>
          <w:bCs/>
          <w:sz w:val="40"/>
          <w:szCs w:val="40"/>
          <w:lang w:val="en-US" w:eastAsia="zh-CN"/>
        </w:rPr>
      </w:pPr>
    </w:p>
    <w:p>
      <w:pPr>
        <w:pStyle w:val="4"/>
        <w:rPr>
          <w:rFonts w:hint="eastAsia"/>
          <w:b/>
          <w:bCs/>
          <w:sz w:val="40"/>
          <w:szCs w:val="40"/>
          <w:lang w:val="en-US" w:eastAsia="zh-CN"/>
        </w:rPr>
      </w:pPr>
    </w:p>
    <w:p>
      <w:pPr>
        <w:pStyle w:val="4"/>
        <w:rPr>
          <w:rFonts w:hint="eastAsia"/>
          <w:b/>
          <w:bCs/>
          <w:sz w:val="40"/>
          <w:szCs w:val="40"/>
          <w:lang w:val="en-US" w:eastAsia="zh-CN"/>
        </w:rPr>
      </w:pPr>
    </w:p>
    <w:p>
      <w:pPr>
        <w:pStyle w:val="4"/>
        <w:rPr>
          <w:rFonts w:hint="eastAsia"/>
          <w:b/>
          <w:bCs/>
          <w:sz w:val="40"/>
          <w:szCs w:val="40"/>
          <w:lang w:val="en-US" w:eastAsia="zh-CN"/>
        </w:rPr>
      </w:pPr>
    </w:p>
    <w:p>
      <w:pPr>
        <w:bidi w:val="0"/>
        <w:jc w:val="center"/>
        <w:outlineLvl w:val="0"/>
        <w:rPr>
          <w:b/>
          <w:bCs/>
          <w:sz w:val="40"/>
          <w:szCs w:val="40"/>
        </w:rPr>
      </w:pPr>
    </w:p>
    <w:p>
      <w:pPr>
        <w:bidi w:val="0"/>
        <w:jc w:val="center"/>
        <w:rPr>
          <w:b/>
          <w:bCs/>
          <w:sz w:val="40"/>
          <w:szCs w:val="40"/>
        </w:rPr>
      </w:pPr>
    </w:p>
    <w:p>
      <w:pPr>
        <w:spacing w:before="0" w:beforeLines="0" w:after="0" w:afterLines="0" w:line="240" w:lineRule="auto"/>
        <w:ind w:left="0" w:leftChars="0" w:right="0" w:rightChars="0" w:firstLine="0" w:firstLineChars="0"/>
        <w:jc w:val="center"/>
        <w:rPr>
          <w:sz w:val="28"/>
          <w:szCs w:val="22"/>
        </w:rPr>
      </w:pPr>
      <w:r>
        <w:rPr>
          <w:rFonts w:ascii="宋体" w:hAnsi="宋体" w:eastAsia="宋体"/>
          <w:sz w:val="20"/>
          <w:szCs w:val="22"/>
        </w:rPr>
        <w:t>目录</w:t>
      </w:r>
    </w:p>
    <w:p>
      <w:pPr>
        <w:pStyle w:val="11"/>
        <w:tabs>
          <w:tab w:val="right" w:leader="dot" w:pos="8306"/>
        </w:tabs>
        <w:rPr>
          <w:b/>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TOC \o "1-2" \h \u </w:instrText>
      </w:r>
      <w:r>
        <w:rPr>
          <w:rFonts w:hint="eastAsia" w:ascii="仿宋_GB2312" w:hAnsi="仿宋_GB2312" w:eastAsia="仿宋_GB2312" w:cs="仿宋_GB2312"/>
          <w:sz w:val="18"/>
          <w:szCs w:val="18"/>
          <w:lang w:eastAsia="zh-CN"/>
        </w:rPr>
        <w:fldChar w:fldCharType="separate"/>
      </w:r>
      <w:r>
        <w:rPr>
          <w:rFonts w:hint="eastAsia" w:ascii="仿宋_GB2312" w:hAnsi="仿宋_GB2312" w:eastAsia="仿宋_GB2312" w:cs="仿宋_GB2312"/>
          <w:b/>
          <w:sz w:val="18"/>
          <w:szCs w:val="18"/>
          <w:lang w:eastAsia="zh-CN"/>
        </w:rPr>
        <w:fldChar w:fldCharType="begin"/>
      </w:r>
      <w:r>
        <w:rPr>
          <w:rFonts w:hint="eastAsia" w:ascii="仿宋_GB2312" w:hAnsi="仿宋_GB2312" w:eastAsia="仿宋_GB2312" w:cs="仿宋_GB2312"/>
          <w:b/>
          <w:sz w:val="18"/>
          <w:szCs w:val="18"/>
          <w:lang w:eastAsia="zh-CN"/>
        </w:rPr>
        <w:instrText xml:space="preserve"> HYPERLINK \l _Toc31151 </w:instrText>
      </w:r>
      <w:r>
        <w:rPr>
          <w:rFonts w:hint="eastAsia" w:ascii="仿宋_GB2312" w:hAnsi="仿宋_GB2312" w:eastAsia="仿宋_GB2312" w:cs="仿宋_GB2312"/>
          <w:b/>
          <w:sz w:val="18"/>
          <w:szCs w:val="18"/>
          <w:lang w:eastAsia="zh-CN"/>
        </w:rPr>
        <w:fldChar w:fldCharType="separate"/>
      </w:r>
      <w:r>
        <w:rPr>
          <w:rFonts w:hint="eastAsia" w:ascii="方正黑体简体" w:hAnsi="方正黑体简体" w:eastAsia="方正黑体简体" w:cs="方正黑体简体"/>
          <w:b/>
          <w:sz w:val="18"/>
          <w:szCs w:val="18"/>
          <w:lang w:eastAsia="zh-CN"/>
        </w:rPr>
        <w:t>1. 总则</w:t>
      </w:r>
      <w:r>
        <w:rPr>
          <w:b/>
          <w:sz w:val="18"/>
          <w:szCs w:val="18"/>
        </w:rPr>
        <w:tab/>
      </w:r>
      <w:r>
        <w:rPr>
          <w:b/>
          <w:sz w:val="18"/>
          <w:szCs w:val="18"/>
        </w:rPr>
        <w:fldChar w:fldCharType="begin"/>
      </w:r>
      <w:r>
        <w:rPr>
          <w:b/>
          <w:sz w:val="18"/>
          <w:szCs w:val="18"/>
        </w:rPr>
        <w:instrText xml:space="preserve"> PAGEREF _Toc31151 \h </w:instrText>
      </w:r>
      <w:r>
        <w:rPr>
          <w:b/>
          <w:sz w:val="18"/>
          <w:szCs w:val="18"/>
        </w:rPr>
        <w:fldChar w:fldCharType="separate"/>
      </w:r>
      <w:r>
        <w:rPr>
          <w:b/>
          <w:sz w:val="18"/>
          <w:szCs w:val="18"/>
        </w:rPr>
        <w:t>4</w:t>
      </w:r>
      <w:r>
        <w:rPr>
          <w:b/>
          <w:sz w:val="18"/>
          <w:szCs w:val="18"/>
        </w:rPr>
        <w:fldChar w:fldCharType="end"/>
      </w:r>
      <w:r>
        <w:rPr>
          <w:rFonts w:hint="eastAsia" w:ascii="仿宋_GB2312" w:hAnsi="仿宋_GB2312" w:eastAsia="仿宋_GB2312" w:cs="仿宋_GB2312"/>
          <w:b/>
          <w:sz w:val="18"/>
          <w:szCs w:val="18"/>
          <w:lang w:eastAsia="zh-CN"/>
        </w:rPr>
        <w:fldChar w:fldCharType="end"/>
      </w:r>
    </w:p>
    <w:p>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_Toc17899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1.1编制目的</w:t>
      </w:r>
      <w:r>
        <w:rPr>
          <w:sz w:val="18"/>
          <w:szCs w:val="18"/>
        </w:rPr>
        <w:tab/>
      </w:r>
      <w:r>
        <w:rPr>
          <w:sz w:val="18"/>
          <w:szCs w:val="18"/>
        </w:rPr>
        <w:fldChar w:fldCharType="begin"/>
      </w:r>
      <w:r>
        <w:rPr>
          <w:sz w:val="18"/>
          <w:szCs w:val="18"/>
        </w:rPr>
        <w:instrText xml:space="preserve"> PAGEREF _Toc17899 \h </w:instrText>
      </w:r>
      <w:r>
        <w:rPr>
          <w:sz w:val="18"/>
          <w:szCs w:val="18"/>
        </w:rPr>
        <w:fldChar w:fldCharType="separate"/>
      </w:r>
      <w:r>
        <w:rPr>
          <w:sz w:val="18"/>
          <w:szCs w:val="18"/>
        </w:rPr>
        <w:t>4</w:t>
      </w:r>
      <w:r>
        <w:rPr>
          <w:sz w:val="18"/>
          <w:szCs w:val="18"/>
        </w:rPr>
        <w:fldChar w:fldCharType="end"/>
      </w:r>
      <w:r>
        <w:rPr>
          <w:rFonts w:hint="eastAsia" w:ascii="仿宋_GB2312" w:hAnsi="仿宋_GB2312" w:eastAsia="仿宋_GB2312" w:cs="仿宋_GB2312"/>
          <w:sz w:val="18"/>
          <w:szCs w:val="18"/>
          <w:lang w:eastAsia="zh-CN"/>
        </w:rPr>
        <w:fldChar w:fldCharType="end"/>
      </w:r>
    </w:p>
    <w:p>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_Toc11148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1.2 编制依据</w:t>
      </w:r>
      <w:r>
        <w:rPr>
          <w:sz w:val="18"/>
          <w:szCs w:val="18"/>
        </w:rPr>
        <w:tab/>
      </w:r>
      <w:r>
        <w:rPr>
          <w:sz w:val="18"/>
          <w:szCs w:val="18"/>
        </w:rPr>
        <w:fldChar w:fldCharType="begin"/>
      </w:r>
      <w:r>
        <w:rPr>
          <w:sz w:val="18"/>
          <w:szCs w:val="18"/>
        </w:rPr>
        <w:instrText xml:space="preserve"> PAGEREF _Toc11148 \h </w:instrText>
      </w:r>
      <w:r>
        <w:rPr>
          <w:sz w:val="18"/>
          <w:szCs w:val="18"/>
        </w:rPr>
        <w:fldChar w:fldCharType="separate"/>
      </w:r>
      <w:r>
        <w:rPr>
          <w:sz w:val="18"/>
          <w:szCs w:val="18"/>
        </w:rPr>
        <w:t>4</w:t>
      </w:r>
      <w:r>
        <w:rPr>
          <w:sz w:val="18"/>
          <w:szCs w:val="18"/>
        </w:rPr>
        <w:fldChar w:fldCharType="end"/>
      </w:r>
      <w:r>
        <w:rPr>
          <w:rFonts w:hint="eastAsia" w:ascii="仿宋_GB2312" w:hAnsi="仿宋_GB2312" w:eastAsia="仿宋_GB2312" w:cs="仿宋_GB2312"/>
          <w:sz w:val="18"/>
          <w:szCs w:val="18"/>
          <w:lang w:eastAsia="zh-CN"/>
        </w:rPr>
        <w:fldChar w:fldCharType="end"/>
      </w:r>
    </w:p>
    <w:p>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_Toc26908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1.3 适用范围</w:t>
      </w:r>
      <w:r>
        <w:rPr>
          <w:sz w:val="18"/>
          <w:szCs w:val="18"/>
        </w:rPr>
        <w:tab/>
      </w:r>
      <w:r>
        <w:rPr>
          <w:sz w:val="18"/>
          <w:szCs w:val="18"/>
        </w:rPr>
        <w:fldChar w:fldCharType="begin"/>
      </w:r>
      <w:r>
        <w:rPr>
          <w:sz w:val="18"/>
          <w:szCs w:val="18"/>
        </w:rPr>
        <w:instrText xml:space="preserve"> PAGEREF _Toc26908 \h </w:instrText>
      </w:r>
      <w:r>
        <w:rPr>
          <w:sz w:val="18"/>
          <w:szCs w:val="18"/>
        </w:rPr>
        <w:fldChar w:fldCharType="separate"/>
      </w:r>
      <w:r>
        <w:rPr>
          <w:sz w:val="18"/>
          <w:szCs w:val="18"/>
        </w:rPr>
        <w:t>5</w:t>
      </w:r>
      <w:r>
        <w:rPr>
          <w:sz w:val="18"/>
          <w:szCs w:val="18"/>
        </w:rPr>
        <w:fldChar w:fldCharType="end"/>
      </w:r>
      <w:r>
        <w:rPr>
          <w:rFonts w:hint="eastAsia" w:ascii="仿宋_GB2312" w:hAnsi="仿宋_GB2312" w:eastAsia="仿宋_GB2312" w:cs="仿宋_GB2312"/>
          <w:sz w:val="18"/>
          <w:szCs w:val="18"/>
          <w:lang w:eastAsia="zh-CN"/>
        </w:rPr>
        <w:fldChar w:fldCharType="end"/>
      </w:r>
    </w:p>
    <w:p>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_Toc15557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1.4 工作原则</w:t>
      </w:r>
      <w:r>
        <w:rPr>
          <w:sz w:val="18"/>
          <w:szCs w:val="18"/>
        </w:rPr>
        <w:tab/>
      </w:r>
      <w:r>
        <w:rPr>
          <w:sz w:val="18"/>
          <w:szCs w:val="18"/>
        </w:rPr>
        <w:fldChar w:fldCharType="begin"/>
      </w:r>
      <w:r>
        <w:rPr>
          <w:sz w:val="18"/>
          <w:szCs w:val="18"/>
        </w:rPr>
        <w:instrText xml:space="preserve"> PAGEREF _Toc15557 \h </w:instrText>
      </w:r>
      <w:r>
        <w:rPr>
          <w:sz w:val="18"/>
          <w:szCs w:val="18"/>
        </w:rPr>
        <w:fldChar w:fldCharType="separate"/>
      </w:r>
      <w:r>
        <w:rPr>
          <w:sz w:val="18"/>
          <w:szCs w:val="18"/>
        </w:rPr>
        <w:t>5</w:t>
      </w:r>
      <w:r>
        <w:rPr>
          <w:sz w:val="18"/>
          <w:szCs w:val="18"/>
        </w:rPr>
        <w:fldChar w:fldCharType="end"/>
      </w:r>
      <w:r>
        <w:rPr>
          <w:rFonts w:hint="eastAsia" w:ascii="仿宋_GB2312" w:hAnsi="仿宋_GB2312" w:eastAsia="仿宋_GB2312" w:cs="仿宋_GB2312"/>
          <w:sz w:val="18"/>
          <w:szCs w:val="18"/>
          <w:lang w:eastAsia="zh-CN"/>
        </w:rPr>
        <w:fldChar w:fldCharType="end"/>
      </w:r>
    </w:p>
    <w:p>
      <w:pPr>
        <w:pStyle w:val="11"/>
        <w:tabs>
          <w:tab w:val="right" w:leader="dot" w:pos="8306"/>
        </w:tabs>
        <w:rPr>
          <w:b/>
          <w:sz w:val="18"/>
          <w:szCs w:val="18"/>
        </w:rPr>
      </w:pPr>
      <w:r>
        <w:rPr>
          <w:rFonts w:hint="eastAsia" w:ascii="仿宋_GB2312" w:hAnsi="仿宋_GB2312" w:eastAsia="仿宋_GB2312" w:cs="仿宋_GB2312"/>
          <w:b/>
          <w:sz w:val="18"/>
          <w:szCs w:val="18"/>
          <w:lang w:eastAsia="zh-CN"/>
        </w:rPr>
        <w:fldChar w:fldCharType="begin"/>
      </w:r>
      <w:r>
        <w:rPr>
          <w:rFonts w:hint="eastAsia" w:ascii="仿宋_GB2312" w:hAnsi="仿宋_GB2312" w:eastAsia="仿宋_GB2312" w:cs="仿宋_GB2312"/>
          <w:b/>
          <w:sz w:val="18"/>
          <w:szCs w:val="18"/>
          <w:lang w:eastAsia="zh-CN"/>
        </w:rPr>
        <w:instrText xml:space="preserve"> HYPERLINK \l _Toc21932 </w:instrText>
      </w:r>
      <w:r>
        <w:rPr>
          <w:rFonts w:hint="eastAsia" w:ascii="仿宋_GB2312" w:hAnsi="仿宋_GB2312" w:eastAsia="仿宋_GB2312" w:cs="仿宋_GB2312"/>
          <w:b/>
          <w:sz w:val="18"/>
          <w:szCs w:val="18"/>
          <w:lang w:eastAsia="zh-CN"/>
        </w:rPr>
        <w:fldChar w:fldCharType="separate"/>
      </w:r>
      <w:r>
        <w:rPr>
          <w:rFonts w:hint="eastAsia" w:ascii="方正黑体简体" w:hAnsi="方正黑体简体" w:eastAsia="方正黑体简体" w:cs="方正黑体简体"/>
          <w:b/>
          <w:sz w:val="18"/>
          <w:szCs w:val="18"/>
          <w:lang w:eastAsia="zh-CN"/>
        </w:rPr>
        <w:t>2. 组织机构及职责</w:t>
      </w:r>
      <w:r>
        <w:rPr>
          <w:b/>
          <w:sz w:val="18"/>
          <w:szCs w:val="18"/>
        </w:rPr>
        <w:tab/>
      </w:r>
      <w:r>
        <w:rPr>
          <w:b/>
          <w:sz w:val="18"/>
          <w:szCs w:val="18"/>
        </w:rPr>
        <w:fldChar w:fldCharType="begin"/>
      </w:r>
      <w:r>
        <w:rPr>
          <w:b/>
          <w:sz w:val="18"/>
          <w:szCs w:val="18"/>
        </w:rPr>
        <w:instrText xml:space="preserve"> PAGEREF _Toc21932 \h </w:instrText>
      </w:r>
      <w:r>
        <w:rPr>
          <w:b/>
          <w:sz w:val="18"/>
          <w:szCs w:val="18"/>
        </w:rPr>
        <w:fldChar w:fldCharType="separate"/>
      </w:r>
      <w:r>
        <w:rPr>
          <w:b/>
          <w:sz w:val="18"/>
          <w:szCs w:val="18"/>
        </w:rPr>
        <w:t>6</w:t>
      </w:r>
      <w:r>
        <w:rPr>
          <w:b/>
          <w:sz w:val="18"/>
          <w:szCs w:val="18"/>
        </w:rPr>
        <w:fldChar w:fldCharType="end"/>
      </w:r>
      <w:r>
        <w:rPr>
          <w:rFonts w:hint="eastAsia" w:ascii="仿宋_GB2312" w:hAnsi="仿宋_GB2312" w:eastAsia="仿宋_GB2312" w:cs="仿宋_GB2312"/>
          <w:b/>
          <w:sz w:val="18"/>
          <w:szCs w:val="18"/>
          <w:lang w:eastAsia="zh-CN"/>
        </w:rPr>
        <w:fldChar w:fldCharType="end"/>
      </w:r>
    </w:p>
    <w:p>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_Toc25726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2.1指挥部及职责</w:t>
      </w:r>
      <w:r>
        <w:rPr>
          <w:sz w:val="18"/>
          <w:szCs w:val="18"/>
        </w:rPr>
        <w:tab/>
      </w:r>
      <w:r>
        <w:rPr>
          <w:sz w:val="18"/>
          <w:szCs w:val="18"/>
        </w:rPr>
        <w:fldChar w:fldCharType="begin"/>
      </w:r>
      <w:r>
        <w:rPr>
          <w:sz w:val="18"/>
          <w:szCs w:val="18"/>
        </w:rPr>
        <w:instrText xml:space="preserve"> PAGEREF _Toc25726 \h </w:instrText>
      </w:r>
      <w:r>
        <w:rPr>
          <w:sz w:val="18"/>
          <w:szCs w:val="18"/>
        </w:rPr>
        <w:fldChar w:fldCharType="separate"/>
      </w:r>
      <w:r>
        <w:rPr>
          <w:sz w:val="18"/>
          <w:szCs w:val="18"/>
        </w:rPr>
        <w:t>6</w:t>
      </w:r>
      <w:r>
        <w:rPr>
          <w:sz w:val="18"/>
          <w:szCs w:val="18"/>
        </w:rPr>
        <w:fldChar w:fldCharType="end"/>
      </w:r>
      <w:r>
        <w:rPr>
          <w:rFonts w:hint="eastAsia" w:ascii="仿宋_GB2312" w:hAnsi="仿宋_GB2312" w:eastAsia="仿宋_GB2312" w:cs="仿宋_GB2312"/>
          <w:sz w:val="18"/>
          <w:szCs w:val="18"/>
          <w:lang w:eastAsia="zh-CN"/>
        </w:rPr>
        <w:fldChar w:fldCharType="end"/>
      </w:r>
    </w:p>
    <w:p>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_Toc14521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2.2 指挥部成员单位及职责</w:t>
      </w:r>
      <w:r>
        <w:rPr>
          <w:sz w:val="18"/>
          <w:szCs w:val="18"/>
        </w:rPr>
        <w:tab/>
      </w:r>
      <w:r>
        <w:rPr>
          <w:sz w:val="18"/>
          <w:szCs w:val="18"/>
        </w:rPr>
        <w:fldChar w:fldCharType="begin"/>
      </w:r>
      <w:r>
        <w:rPr>
          <w:sz w:val="18"/>
          <w:szCs w:val="18"/>
        </w:rPr>
        <w:instrText xml:space="preserve"> PAGEREF _Toc14521 \h </w:instrText>
      </w:r>
      <w:r>
        <w:rPr>
          <w:sz w:val="18"/>
          <w:szCs w:val="18"/>
        </w:rPr>
        <w:fldChar w:fldCharType="separate"/>
      </w:r>
      <w:r>
        <w:rPr>
          <w:sz w:val="18"/>
          <w:szCs w:val="18"/>
        </w:rPr>
        <w:t>7</w:t>
      </w:r>
      <w:r>
        <w:rPr>
          <w:sz w:val="18"/>
          <w:szCs w:val="18"/>
        </w:rPr>
        <w:fldChar w:fldCharType="end"/>
      </w:r>
      <w:r>
        <w:rPr>
          <w:rFonts w:hint="eastAsia" w:ascii="仿宋_GB2312" w:hAnsi="仿宋_GB2312" w:eastAsia="仿宋_GB2312" w:cs="仿宋_GB2312"/>
          <w:sz w:val="18"/>
          <w:szCs w:val="18"/>
          <w:lang w:eastAsia="zh-CN"/>
        </w:rPr>
        <w:fldChar w:fldCharType="end"/>
      </w:r>
    </w:p>
    <w:p>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_Toc27911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 xml:space="preserve">2.3 </w:t>
      </w:r>
      <w:r>
        <w:rPr>
          <w:rFonts w:hint="eastAsia" w:ascii="楷体_GB2312" w:hAnsi="楷体_GB2312" w:eastAsia="楷体_GB2312" w:cs="楷体_GB2312"/>
          <w:sz w:val="18"/>
          <w:szCs w:val="18"/>
          <w:lang w:val="en-US" w:eastAsia="zh-CN"/>
        </w:rPr>
        <w:t>县</w:t>
      </w:r>
      <w:r>
        <w:rPr>
          <w:rFonts w:hint="eastAsia" w:ascii="楷体_GB2312" w:hAnsi="楷体_GB2312" w:eastAsia="楷体_GB2312" w:cs="楷体_GB2312"/>
          <w:sz w:val="18"/>
          <w:szCs w:val="18"/>
          <w:lang w:eastAsia="zh-CN"/>
        </w:rPr>
        <w:t>指挥部办公室及其职责</w:t>
      </w:r>
      <w:r>
        <w:rPr>
          <w:sz w:val="18"/>
          <w:szCs w:val="18"/>
        </w:rPr>
        <w:tab/>
      </w:r>
      <w:r>
        <w:rPr>
          <w:sz w:val="18"/>
          <w:szCs w:val="18"/>
        </w:rPr>
        <w:fldChar w:fldCharType="begin"/>
      </w:r>
      <w:r>
        <w:rPr>
          <w:sz w:val="18"/>
          <w:szCs w:val="18"/>
        </w:rPr>
        <w:instrText xml:space="preserve"> PAGEREF _Toc27911 \h </w:instrText>
      </w:r>
      <w:r>
        <w:rPr>
          <w:sz w:val="18"/>
          <w:szCs w:val="18"/>
        </w:rPr>
        <w:fldChar w:fldCharType="separate"/>
      </w:r>
      <w:r>
        <w:rPr>
          <w:sz w:val="18"/>
          <w:szCs w:val="18"/>
        </w:rPr>
        <w:t>9</w:t>
      </w:r>
      <w:r>
        <w:rPr>
          <w:sz w:val="18"/>
          <w:szCs w:val="18"/>
        </w:rPr>
        <w:fldChar w:fldCharType="end"/>
      </w:r>
      <w:r>
        <w:rPr>
          <w:rFonts w:hint="eastAsia" w:ascii="仿宋_GB2312" w:hAnsi="仿宋_GB2312" w:eastAsia="仿宋_GB2312" w:cs="仿宋_GB2312"/>
          <w:sz w:val="18"/>
          <w:szCs w:val="18"/>
          <w:lang w:eastAsia="zh-CN"/>
        </w:rPr>
        <w:fldChar w:fldCharType="end"/>
      </w:r>
    </w:p>
    <w:p>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_Toc29709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2.4 专家组及职责</w:t>
      </w:r>
      <w:r>
        <w:rPr>
          <w:sz w:val="18"/>
          <w:szCs w:val="18"/>
        </w:rPr>
        <w:tab/>
      </w:r>
      <w:r>
        <w:rPr>
          <w:sz w:val="18"/>
          <w:szCs w:val="18"/>
        </w:rPr>
        <w:fldChar w:fldCharType="begin"/>
      </w:r>
      <w:r>
        <w:rPr>
          <w:sz w:val="18"/>
          <w:szCs w:val="18"/>
        </w:rPr>
        <w:instrText xml:space="preserve"> PAGEREF _Toc29709 \h </w:instrText>
      </w:r>
      <w:r>
        <w:rPr>
          <w:sz w:val="18"/>
          <w:szCs w:val="18"/>
        </w:rPr>
        <w:fldChar w:fldCharType="separate"/>
      </w:r>
      <w:r>
        <w:rPr>
          <w:sz w:val="18"/>
          <w:szCs w:val="18"/>
        </w:rPr>
        <w:t>10</w:t>
      </w:r>
      <w:r>
        <w:rPr>
          <w:sz w:val="18"/>
          <w:szCs w:val="18"/>
        </w:rPr>
        <w:fldChar w:fldCharType="end"/>
      </w:r>
      <w:r>
        <w:rPr>
          <w:rFonts w:hint="eastAsia" w:ascii="仿宋_GB2312" w:hAnsi="仿宋_GB2312" w:eastAsia="仿宋_GB2312" w:cs="仿宋_GB2312"/>
          <w:sz w:val="18"/>
          <w:szCs w:val="18"/>
          <w:lang w:eastAsia="zh-CN"/>
        </w:rPr>
        <w:fldChar w:fldCharType="end"/>
      </w:r>
    </w:p>
    <w:p>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_Toc5781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2.5 现场指挥部及职责</w:t>
      </w:r>
      <w:r>
        <w:rPr>
          <w:sz w:val="18"/>
          <w:szCs w:val="18"/>
        </w:rPr>
        <w:tab/>
      </w:r>
      <w:r>
        <w:rPr>
          <w:sz w:val="18"/>
          <w:szCs w:val="18"/>
        </w:rPr>
        <w:fldChar w:fldCharType="begin"/>
      </w:r>
      <w:r>
        <w:rPr>
          <w:sz w:val="18"/>
          <w:szCs w:val="18"/>
        </w:rPr>
        <w:instrText xml:space="preserve"> PAGEREF _Toc5781 \h </w:instrText>
      </w:r>
      <w:r>
        <w:rPr>
          <w:sz w:val="18"/>
          <w:szCs w:val="18"/>
        </w:rPr>
        <w:fldChar w:fldCharType="separate"/>
      </w:r>
      <w:r>
        <w:rPr>
          <w:sz w:val="18"/>
          <w:szCs w:val="18"/>
        </w:rPr>
        <w:t>10</w:t>
      </w:r>
      <w:r>
        <w:rPr>
          <w:sz w:val="18"/>
          <w:szCs w:val="18"/>
        </w:rPr>
        <w:fldChar w:fldCharType="end"/>
      </w:r>
      <w:r>
        <w:rPr>
          <w:rFonts w:hint="eastAsia" w:ascii="仿宋_GB2312" w:hAnsi="仿宋_GB2312" w:eastAsia="仿宋_GB2312" w:cs="仿宋_GB2312"/>
          <w:sz w:val="18"/>
          <w:szCs w:val="18"/>
          <w:lang w:eastAsia="zh-CN"/>
        </w:rPr>
        <w:fldChar w:fldCharType="end"/>
      </w:r>
    </w:p>
    <w:p>
      <w:pPr>
        <w:pStyle w:val="11"/>
        <w:tabs>
          <w:tab w:val="right" w:leader="dot" w:pos="8306"/>
        </w:tabs>
        <w:rPr>
          <w:b/>
          <w:sz w:val="18"/>
          <w:szCs w:val="18"/>
        </w:rPr>
      </w:pPr>
      <w:r>
        <w:rPr>
          <w:rFonts w:hint="eastAsia" w:ascii="仿宋_GB2312" w:hAnsi="仿宋_GB2312" w:eastAsia="仿宋_GB2312" w:cs="仿宋_GB2312"/>
          <w:b/>
          <w:sz w:val="18"/>
          <w:szCs w:val="18"/>
          <w:lang w:eastAsia="zh-CN"/>
        </w:rPr>
        <w:fldChar w:fldCharType="begin"/>
      </w:r>
      <w:r>
        <w:rPr>
          <w:rFonts w:hint="eastAsia" w:ascii="仿宋_GB2312" w:hAnsi="仿宋_GB2312" w:eastAsia="仿宋_GB2312" w:cs="仿宋_GB2312"/>
          <w:b/>
          <w:sz w:val="18"/>
          <w:szCs w:val="18"/>
          <w:lang w:eastAsia="zh-CN"/>
        </w:rPr>
        <w:instrText xml:space="preserve"> HYPERLINK \l _Toc14918 </w:instrText>
      </w:r>
      <w:r>
        <w:rPr>
          <w:rFonts w:hint="eastAsia" w:ascii="仿宋_GB2312" w:hAnsi="仿宋_GB2312" w:eastAsia="仿宋_GB2312" w:cs="仿宋_GB2312"/>
          <w:b/>
          <w:sz w:val="18"/>
          <w:szCs w:val="18"/>
          <w:lang w:eastAsia="zh-CN"/>
        </w:rPr>
        <w:fldChar w:fldCharType="separate"/>
      </w:r>
      <w:r>
        <w:rPr>
          <w:rFonts w:hint="eastAsia" w:ascii="方正黑体简体" w:hAnsi="方正黑体简体" w:eastAsia="方正黑体简体" w:cs="方正黑体简体"/>
          <w:b/>
          <w:sz w:val="18"/>
          <w:szCs w:val="18"/>
          <w:lang w:eastAsia="zh-CN"/>
        </w:rPr>
        <w:t>3. 监测、预警和信息报告</w:t>
      </w:r>
      <w:r>
        <w:rPr>
          <w:b/>
          <w:sz w:val="18"/>
          <w:szCs w:val="18"/>
        </w:rPr>
        <w:tab/>
      </w:r>
      <w:r>
        <w:rPr>
          <w:b/>
          <w:sz w:val="18"/>
          <w:szCs w:val="18"/>
        </w:rPr>
        <w:fldChar w:fldCharType="begin"/>
      </w:r>
      <w:r>
        <w:rPr>
          <w:b/>
          <w:sz w:val="18"/>
          <w:szCs w:val="18"/>
        </w:rPr>
        <w:instrText xml:space="preserve"> PAGEREF _Toc14918 \h </w:instrText>
      </w:r>
      <w:r>
        <w:rPr>
          <w:b/>
          <w:sz w:val="18"/>
          <w:szCs w:val="18"/>
        </w:rPr>
        <w:fldChar w:fldCharType="separate"/>
      </w:r>
      <w:r>
        <w:rPr>
          <w:b/>
          <w:sz w:val="18"/>
          <w:szCs w:val="18"/>
        </w:rPr>
        <w:t>13</w:t>
      </w:r>
      <w:r>
        <w:rPr>
          <w:b/>
          <w:sz w:val="18"/>
          <w:szCs w:val="18"/>
        </w:rPr>
        <w:fldChar w:fldCharType="end"/>
      </w:r>
      <w:r>
        <w:rPr>
          <w:rFonts w:hint="eastAsia" w:ascii="仿宋_GB2312" w:hAnsi="仿宋_GB2312" w:eastAsia="仿宋_GB2312" w:cs="仿宋_GB2312"/>
          <w:b/>
          <w:sz w:val="18"/>
          <w:szCs w:val="18"/>
          <w:lang w:eastAsia="zh-CN"/>
        </w:rPr>
        <w:fldChar w:fldCharType="end"/>
      </w:r>
    </w:p>
    <w:p>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_Toc4463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3.1监测</w:t>
      </w:r>
      <w:r>
        <w:rPr>
          <w:sz w:val="18"/>
          <w:szCs w:val="18"/>
        </w:rPr>
        <w:tab/>
      </w:r>
      <w:r>
        <w:rPr>
          <w:sz w:val="18"/>
          <w:szCs w:val="18"/>
        </w:rPr>
        <w:fldChar w:fldCharType="begin"/>
      </w:r>
      <w:r>
        <w:rPr>
          <w:sz w:val="18"/>
          <w:szCs w:val="18"/>
        </w:rPr>
        <w:instrText xml:space="preserve"> PAGEREF _Toc4463 \h </w:instrText>
      </w:r>
      <w:r>
        <w:rPr>
          <w:sz w:val="18"/>
          <w:szCs w:val="18"/>
        </w:rPr>
        <w:fldChar w:fldCharType="separate"/>
      </w:r>
      <w:r>
        <w:rPr>
          <w:sz w:val="18"/>
          <w:szCs w:val="18"/>
        </w:rPr>
        <w:t>13</w:t>
      </w:r>
      <w:r>
        <w:rPr>
          <w:sz w:val="18"/>
          <w:szCs w:val="18"/>
        </w:rPr>
        <w:fldChar w:fldCharType="end"/>
      </w:r>
      <w:r>
        <w:rPr>
          <w:rFonts w:hint="eastAsia" w:ascii="仿宋_GB2312" w:hAnsi="仿宋_GB2312" w:eastAsia="仿宋_GB2312" w:cs="仿宋_GB2312"/>
          <w:sz w:val="18"/>
          <w:szCs w:val="18"/>
          <w:lang w:eastAsia="zh-CN"/>
        </w:rPr>
        <w:fldChar w:fldCharType="end"/>
      </w:r>
    </w:p>
    <w:p>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_Toc32086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3.2预警</w:t>
      </w:r>
      <w:r>
        <w:rPr>
          <w:sz w:val="18"/>
          <w:szCs w:val="18"/>
        </w:rPr>
        <w:tab/>
      </w:r>
      <w:r>
        <w:rPr>
          <w:sz w:val="18"/>
          <w:szCs w:val="18"/>
        </w:rPr>
        <w:fldChar w:fldCharType="begin"/>
      </w:r>
      <w:r>
        <w:rPr>
          <w:sz w:val="18"/>
          <w:szCs w:val="18"/>
        </w:rPr>
        <w:instrText xml:space="preserve"> PAGEREF _Toc32086 \h </w:instrText>
      </w:r>
      <w:r>
        <w:rPr>
          <w:sz w:val="18"/>
          <w:szCs w:val="18"/>
        </w:rPr>
        <w:fldChar w:fldCharType="separate"/>
      </w:r>
      <w:r>
        <w:rPr>
          <w:sz w:val="18"/>
          <w:szCs w:val="18"/>
        </w:rPr>
        <w:t>13</w:t>
      </w:r>
      <w:r>
        <w:rPr>
          <w:sz w:val="18"/>
          <w:szCs w:val="18"/>
        </w:rPr>
        <w:fldChar w:fldCharType="end"/>
      </w:r>
      <w:r>
        <w:rPr>
          <w:rFonts w:hint="eastAsia" w:ascii="仿宋_GB2312" w:hAnsi="仿宋_GB2312" w:eastAsia="仿宋_GB2312" w:cs="仿宋_GB2312"/>
          <w:sz w:val="18"/>
          <w:szCs w:val="18"/>
          <w:lang w:eastAsia="zh-CN"/>
        </w:rPr>
        <w:fldChar w:fldCharType="end"/>
      </w:r>
    </w:p>
    <w:p>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_Toc562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3.3 信息报告</w:t>
      </w:r>
      <w:r>
        <w:rPr>
          <w:sz w:val="18"/>
          <w:szCs w:val="18"/>
        </w:rPr>
        <w:tab/>
      </w:r>
      <w:r>
        <w:rPr>
          <w:sz w:val="18"/>
          <w:szCs w:val="18"/>
        </w:rPr>
        <w:fldChar w:fldCharType="begin"/>
      </w:r>
      <w:r>
        <w:rPr>
          <w:sz w:val="18"/>
          <w:szCs w:val="18"/>
        </w:rPr>
        <w:instrText xml:space="preserve"> PAGEREF _Toc562 \h </w:instrText>
      </w:r>
      <w:r>
        <w:rPr>
          <w:sz w:val="18"/>
          <w:szCs w:val="18"/>
        </w:rPr>
        <w:fldChar w:fldCharType="separate"/>
      </w:r>
      <w:r>
        <w:rPr>
          <w:sz w:val="18"/>
          <w:szCs w:val="18"/>
        </w:rPr>
        <w:t>14</w:t>
      </w:r>
      <w:r>
        <w:rPr>
          <w:sz w:val="18"/>
          <w:szCs w:val="18"/>
        </w:rPr>
        <w:fldChar w:fldCharType="end"/>
      </w:r>
      <w:r>
        <w:rPr>
          <w:rFonts w:hint="eastAsia" w:ascii="仿宋_GB2312" w:hAnsi="仿宋_GB2312" w:eastAsia="仿宋_GB2312" w:cs="仿宋_GB2312"/>
          <w:sz w:val="18"/>
          <w:szCs w:val="18"/>
          <w:lang w:eastAsia="zh-CN"/>
        </w:rPr>
        <w:fldChar w:fldCharType="end"/>
      </w:r>
    </w:p>
    <w:p>
      <w:pPr>
        <w:pStyle w:val="11"/>
        <w:tabs>
          <w:tab w:val="right" w:leader="dot" w:pos="8306"/>
        </w:tabs>
        <w:rPr>
          <w:b/>
          <w:sz w:val="18"/>
          <w:szCs w:val="18"/>
        </w:rPr>
      </w:pPr>
      <w:r>
        <w:rPr>
          <w:rFonts w:hint="eastAsia" w:ascii="仿宋_GB2312" w:hAnsi="仿宋_GB2312" w:eastAsia="仿宋_GB2312" w:cs="仿宋_GB2312"/>
          <w:b/>
          <w:sz w:val="18"/>
          <w:szCs w:val="18"/>
          <w:lang w:eastAsia="zh-CN"/>
        </w:rPr>
        <w:fldChar w:fldCharType="begin"/>
      </w:r>
      <w:r>
        <w:rPr>
          <w:rFonts w:hint="eastAsia" w:ascii="仿宋_GB2312" w:hAnsi="仿宋_GB2312" w:eastAsia="仿宋_GB2312" w:cs="仿宋_GB2312"/>
          <w:b/>
          <w:sz w:val="18"/>
          <w:szCs w:val="18"/>
          <w:lang w:eastAsia="zh-CN"/>
        </w:rPr>
        <w:instrText xml:space="preserve"> HYPERLINK \l _Toc984 </w:instrText>
      </w:r>
      <w:r>
        <w:rPr>
          <w:rFonts w:hint="eastAsia" w:ascii="仿宋_GB2312" w:hAnsi="仿宋_GB2312" w:eastAsia="仿宋_GB2312" w:cs="仿宋_GB2312"/>
          <w:b/>
          <w:sz w:val="18"/>
          <w:szCs w:val="18"/>
          <w:lang w:eastAsia="zh-CN"/>
        </w:rPr>
        <w:fldChar w:fldCharType="separate"/>
      </w:r>
      <w:r>
        <w:rPr>
          <w:rFonts w:hint="eastAsia" w:ascii="方正黑体简体" w:hAnsi="方正黑体简体" w:eastAsia="方正黑体简体" w:cs="方正黑体简体"/>
          <w:b/>
          <w:sz w:val="18"/>
          <w:szCs w:val="18"/>
          <w:lang w:eastAsia="zh-CN"/>
        </w:rPr>
        <w:t>4. 信息接报与通知响应</w:t>
      </w:r>
      <w:r>
        <w:rPr>
          <w:b/>
          <w:sz w:val="18"/>
          <w:szCs w:val="18"/>
        </w:rPr>
        <w:tab/>
      </w:r>
      <w:r>
        <w:rPr>
          <w:b/>
          <w:sz w:val="18"/>
          <w:szCs w:val="18"/>
        </w:rPr>
        <w:fldChar w:fldCharType="begin"/>
      </w:r>
      <w:r>
        <w:rPr>
          <w:b/>
          <w:sz w:val="18"/>
          <w:szCs w:val="18"/>
        </w:rPr>
        <w:instrText xml:space="preserve"> PAGEREF _Toc984 \h </w:instrText>
      </w:r>
      <w:r>
        <w:rPr>
          <w:b/>
          <w:sz w:val="18"/>
          <w:szCs w:val="18"/>
        </w:rPr>
        <w:fldChar w:fldCharType="separate"/>
      </w:r>
      <w:r>
        <w:rPr>
          <w:b/>
          <w:sz w:val="18"/>
          <w:szCs w:val="18"/>
        </w:rPr>
        <w:t>14</w:t>
      </w:r>
      <w:r>
        <w:rPr>
          <w:b/>
          <w:sz w:val="18"/>
          <w:szCs w:val="18"/>
        </w:rPr>
        <w:fldChar w:fldCharType="end"/>
      </w:r>
      <w:r>
        <w:rPr>
          <w:rFonts w:hint="eastAsia" w:ascii="仿宋_GB2312" w:hAnsi="仿宋_GB2312" w:eastAsia="仿宋_GB2312" w:cs="仿宋_GB2312"/>
          <w:b/>
          <w:sz w:val="18"/>
          <w:szCs w:val="18"/>
          <w:lang w:eastAsia="zh-CN"/>
        </w:rPr>
        <w:fldChar w:fldCharType="end"/>
      </w:r>
    </w:p>
    <w:p>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_Toc20582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4.1接警、处警</w:t>
      </w:r>
      <w:r>
        <w:rPr>
          <w:sz w:val="18"/>
          <w:szCs w:val="18"/>
        </w:rPr>
        <w:tab/>
      </w:r>
      <w:r>
        <w:rPr>
          <w:sz w:val="18"/>
          <w:szCs w:val="18"/>
        </w:rPr>
        <w:fldChar w:fldCharType="begin"/>
      </w:r>
      <w:r>
        <w:rPr>
          <w:sz w:val="18"/>
          <w:szCs w:val="18"/>
        </w:rPr>
        <w:instrText xml:space="preserve"> PAGEREF _Toc20582 \h </w:instrText>
      </w:r>
      <w:r>
        <w:rPr>
          <w:sz w:val="18"/>
          <w:szCs w:val="18"/>
        </w:rPr>
        <w:fldChar w:fldCharType="separate"/>
      </w:r>
      <w:r>
        <w:rPr>
          <w:sz w:val="18"/>
          <w:szCs w:val="18"/>
        </w:rPr>
        <w:t>14</w:t>
      </w:r>
      <w:r>
        <w:rPr>
          <w:sz w:val="18"/>
          <w:szCs w:val="18"/>
        </w:rPr>
        <w:fldChar w:fldCharType="end"/>
      </w:r>
      <w:r>
        <w:rPr>
          <w:rFonts w:hint="eastAsia" w:ascii="仿宋_GB2312" w:hAnsi="仿宋_GB2312" w:eastAsia="仿宋_GB2312" w:cs="仿宋_GB2312"/>
          <w:sz w:val="18"/>
          <w:szCs w:val="18"/>
          <w:lang w:eastAsia="zh-CN"/>
        </w:rPr>
        <w:fldChar w:fldCharType="end"/>
      </w:r>
    </w:p>
    <w:p>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_Toc12204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4.2通知响应</w:t>
      </w:r>
      <w:r>
        <w:rPr>
          <w:sz w:val="18"/>
          <w:szCs w:val="18"/>
        </w:rPr>
        <w:tab/>
      </w:r>
      <w:r>
        <w:rPr>
          <w:sz w:val="18"/>
          <w:szCs w:val="18"/>
        </w:rPr>
        <w:fldChar w:fldCharType="begin"/>
      </w:r>
      <w:r>
        <w:rPr>
          <w:sz w:val="18"/>
          <w:szCs w:val="18"/>
        </w:rPr>
        <w:instrText xml:space="preserve"> PAGEREF _Toc12204 \h </w:instrText>
      </w:r>
      <w:r>
        <w:rPr>
          <w:sz w:val="18"/>
          <w:szCs w:val="18"/>
        </w:rPr>
        <w:fldChar w:fldCharType="separate"/>
      </w:r>
      <w:r>
        <w:rPr>
          <w:sz w:val="18"/>
          <w:szCs w:val="18"/>
        </w:rPr>
        <w:t>15</w:t>
      </w:r>
      <w:r>
        <w:rPr>
          <w:sz w:val="18"/>
          <w:szCs w:val="18"/>
        </w:rPr>
        <w:fldChar w:fldCharType="end"/>
      </w:r>
      <w:r>
        <w:rPr>
          <w:rFonts w:hint="eastAsia" w:ascii="仿宋_GB2312" w:hAnsi="仿宋_GB2312" w:eastAsia="仿宋_GB2312" w:cs="仿宋_GB2312"/>
          <w:sz w:val="18"/>
          <w:szCs w:val="18"/>
          <w:lang w:eastAsia="zh-CN"/>
        </w:rPr>
        <w:fldChar w:fldCharType="end"/>
      </w:r>
    </w:p>
    <w:p>
      <w:pPr>
        <w:pStyle w:val="11"/>
        <w:tabs>
          <w:tab w:val="right" w:leader="dot" w:pos="8306"/>
        </w:tabs>
        <w:rPr>
          <w:b/>
          <w:sz w:val="18"/>
          <w:szCs w:val="18"/>
        </w:rPr>
      </w:pPr>
      <w:r>
        <w:rPr>
          <w:rFonts w:hint="eastAsia" w:ascii="仿宋_GB2312" w:hAnsi="仿宋_GB2312" w:eastAsia="仿宋_GB2312" w:cs="仿宋_GB2312"/>
          <w:b/>
          <w:sz w:val="18"/>
          <w:szCs w:val="18"/>
          <w:lang w:eastAsia="zh-CN"/>
        </w:rPr>
        <w:fldChar w:fldCharType="begin"/>
      </w:r>
      <w:r>
        <w:rPr>
          <w:rFonts w:hint="eastAsia" w:ascii="仿宋_GB2312" w:hAnsi="仿宋_GB2312" w:eastAsia="仿宋_GB2312" w:cs="仿宋_GB2312"/>
          <w:b/>
          <w:sz w:val="18"/>
          <w:szCs w:val="18"/>
          <w:lang w:eastAsia="zh-CN"/>
        </w:rPr>
        <w:instrText xml:space="preserve"> HYPERLINK \l _Toc22198 </w:instrText>
      </w:r>
      <w:r>
        <w:rPr>
          <w:rFonts w:hint="eastAsia" w:ascii="仿宋_GB2312" w:hAnsi="仿宋_GB2312" w:eastAsia="仿宋_GB2312" w:cs="仿宋_GB2312"/>
          <w:b/>
          <w:sz w:val="18"/>
          <w:szCs w:val="18"/>
          <w:lang w:eastAsia="zh-CN"/>
        </w:rPr>
        <w:fldChar w:fldCharType="separate"/>
      </w:r>
      <w:r>
        <w:rPr>
          <w:rFonts w:hint="eastAsia" w:ascii="方正黑体简体" w:hAnsi="方正黑体简体" w:eastAsia="方正黑体简体" w:cs="方正黑体简体"/>
          <w:b/>
          <w:sz w:val="18"/>
          <w:szCs w:val="18"/>
          <w:lang w:eastAsia="zh-CN"/>
        </w:rPr>
        <w:t>5.应急响应</w:t>
      </w:r>
      <w:r>
        <w:rPr>
          <w:b/>
          <w:sz w:val="18"/>
          <w:szCs w:val="18"/>
        </w:rPr>
        <w:tab/>
      </w:r>
      <w:r>
        <w:rPr>
          <w:b/>
          <w:sz w:val="18"/>
          <w:szCs w:val="18"/>
        </w:rPr>
        <w:fldChar w:fldCharType="begin"/>
      </w:r>
      <w:r>
        <w:rPr>
          <w:b/>
          <w:sz w:val="18"/>
          <w:szCs w:val="18"/>
        </w:rPr>
        <w:instrText xml:space="preserve"> PAGEREF _Toc22198 \h </w:instrText>
      </w:r>
      <w:r>
        <w:rPr>
          <w:b/>
          <w:sz w:val="18"/>
          <w:szCs w:val="18"/>
        </w:rPr>
        <w:fldChar w:fldCharType="separate"/>
      </w:r>
      <w:r>
        <w:rPr>
          <w:b/>
          <w:sz w:val="18"/>
          <w:szCs w:val="18"/>
        </w:rPr>
        <w:t>15</w:t>
      </w:r>
      <w:r>
        <w:rPr>
          <w:b/>
          <w:sz w:val="18"/>
          <w:szCs w:val="18"/>
        </w:rPr>
        <w:fldChar w:fldCharType="end"/>
      </w:r>
      <w:r>
        <w:rPr>
          <w:rFonts w:hint="eastAsia" w:ascii="仿宋_GB2312" w:hAnsi="仿宋_GB2312" w:eastAsia="仿宋_GB2312" w:cs="仿宋_GB2312"/>
          <w:b/>
          <w:sz w:val="18"/>
          <w:szCs w:val="18"/>
          <w:lang w:eastAsia="zh-CN"/>
        </w:rPr>
        <w:fldChar w:fldCharType="end"/>
      </w:r>
    </w:p>
    <w:p>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_Toc6131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5.1响应程序</w:t>
      </w:r>
      <w:r>
        <w:rPr>
          <w:sz w:val="18"/>
          <w:szCs w:val="18"/>
        </w:rPr>
        <w:tab/>
      </w:r>
      <w:r>
        <w:rPr>
          <w:sz w:val="18"/>
          <w:szCs w:val="18"/>
        </w:rPr>
        <w:fldChar w:fldCharType="begin"/>
      </w:r>
      <w:r>
        <w:rPr>
          <w:sz w:val="18"/>
          <w:szCs w:val="18"/>
        </w:rPr>
        <w:instrText xml:space="preserve"> PAGEREF _Toc6131 \h </w:instrText>
      </w:r>
      <w:r>
        <w:rPr>
          <w:sz w:val="18"/>
          <w:szCs w:val="18"/>
        </w:rPr>
        <w:fldChar w:fldCharType="separate"/>
      </w:r>
      <w:r>
        <w:rPr>
          <w:sz w:val="18"/>
          <w:szCs w:val="18"/>
        </w:rPr>
        <w:t>15</w:t>
      </w:r>
      <w:r>
        <w:rPr>
          <w:sz w:val="18"/>
          <w:szCs w:val="18"/>
        </w:rPr>
        <w:fldChar w:fldCharType="end"/>
      </w:r>
      <w:r>
        <w:rPr>
          <w:rFonts w:hint="eastAsia" w:ascii="仿宋_GB2312" w:hAnsi="仿宋_GB2312" w:eastAsia="仿宋_GB2312" w:cs="仿宋_GB2312"/>
          <w:sz w:val="18"/>
          <w:szCs w:val="18"/>
          <w:lang w:eastAsia="zh-CN"/>
        </w:rPr>
        <w:fldChar w:fldCharType="end"/>
      </w:r>
    </w:p>
    <w:p>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_Toc25181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5.2启动预案</w:t>
      </w:r>
      <w:r>
        <w:rPr>
          <w:sz w:val="18"/>
          <w:szCs w:val="18"/>
        </w:rPr>
        <w:tab/>
      </w:r>
      <w:r>
        <w:rPr>
          <w:sz w:val="18"/>
          <w:szCs w:val="18"/>
        </w:rPr>
        <w:fldChar w:fldCharType="begin"/>
      </w:r>
      <w:r>
        <w:rPr>
          <w:sz w:val="18"/>
          <w:szCs w:val="18"/>
        </w:rPr>
        <w:instrText xml:space="preserve"> PAGEREF _Toc25181 \h </w:instrText>
      </w:r>
      <w:r>
        <w:rPr>
          <w:sz w:val="18"/>
          <w:szCs w:val="18"/>
        </w:rPr>
        <w:fldChar w:fldCharType="separate"/>
      </w:r>
      <w:r>
        <w:rPr>
          <w:sz w:val="18"/>
          <w:szCs w:val="18"/>
        </w:rPr>
        <w:t>15</w:t>
      </w:r>
      <w:r>
        <w:rPr>
          <w:sz w:val="18"/>
          <w:szCs w:val="18"/>
        </w:rPr>
        <w:fldChar w:fldCharType="end"/>
      </w:r>
      <w:r>
        <w:rPr>
          <w:rFonts w:hint="eastAsia" w:ascii="仿宋_GB2312" w:hAnsi="仿宋_GB2312" w:eastAsia="仿宋_GB2312" w:cs="仿宋_GB2312"/>
          <w:sz w:val="18"/>
          <w:szCs w:val="18"/>
          <w:lang w:eastAsia="zh-CN"/>
        </w:rPr>
        <w:fldChar w:fldCharType="end"/>
      </w:r>
    </w:p>
    <w:p>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_Toc1327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5.3响应行动</w:t>
      </w:r>
      <w:r>
        <w:rPr>
          <w:sz w:val="18"/>
          <w:szCs w:val="18"/>
        </w:rPr>
        <w:tab/>
      </w:r>
      <w:r>
        <w:rPr>
          <w:sz w:val="18"/>
          <w:szCs w:val="18"/>
        </w:rPr>
        <w:fldChar w:fldCharType="begin"/>
      </w:r>
      <w:r>
        <w:rPr>
          <w:sz w:val="18"/>
          <w:szCs w:val="18"/>
        </w:rPr>
        <w:instrText xml:space="preserve"> PAGEREF _Toc1327 \h </w:instrText>
      </w:r>
      <w:r>
        <w:rPr>
          <w:sz w:val="18"/>
          <w:szCs w:val="18"/>
        </w:rPr>
        <w:fldChar w:fldCharType="separate"/>
      </w:r>
      <w:r>
        <w:rPr>
          <w:sz w:val="18"/>
          <w:szCs w:val="18"/>
        </w:rPr>
        <w:t>16</w:t>
      </w:r>
      <w:r>
        <w:rPr>
          <w:sz w:val="18"/>
          <w:szCs w:val="18"/>
        </w:rPr>
        <w:fldChar w:fldCharType="end"/>
      </w:r>
      <w:r>
        <w:rPr>
          <w:rFonts w:hint="eastAsia" w:ascii="仿宋_GB2312" w:hAnsi="仿宋_GB2312" w:eastAsia="仿宋_GB2312" w:cs="仿宋_GB2312"/>
          <w:sz w:val="18"/>
          <w:szCs w:val="18"/>
          <w:lang w:eastAsia="zh-CN"/>
        </w:rPr>
        <w:fldChar w:fldCharType="end"/>
      </w:r>
    </w:p>
    <w:p>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_Toc20795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5.4 应急处置</w:t>
      </w:r>
      <w:r>
        <w:rPr>
          <w:sz w:val="18"/>
          <w:szCs w:val="18"/>
        </w:rPr>
        <w:tab/>
      </w:r>
      <w:r>
        <w:rPr>
          <w:sz w:val="18"/>
          <w:szCs w:val="18"/>
        </w:rPr>
        <w:fldChar w:fldCharType="begin"/>
      </w:r>
      <w:r>
        <w:rPr>
          <w:sz w:val="18"/>
          <w:szCs w:val="18"/>
        </w:rPr>
        <w:instrText xml:space="preserve"> PAGEREF _Toc20795 \h </w:instrText>
      </w:r>
      <w:r>
        <w:rPr>
          <w:sz w:val="18"/>
          <w:szCs w:val="18"/>
        </w:rPr>
        <w:fldChar w:fldCharType="separate"/>
      </w:r>
      <w:r>
        <w:rPr>
          <w:sz w:val="18"/>
          <w:szCs w:val="18"/>
        </w:rPr>
        <w:t>16</w:t>
      </w:r>
      <w:r>
        <w:rPr>
          <w:sz w:val="18"/>
          <w:szCs w:val="18"/>
        </w:rPr>
        <w:fldChar w:fldCharType="end"/>
      </w:r>
      <w:r>
        <w:rPr>
          <w:rFonts w:hint="eastAsia" w:ascii="仿宋_GB2312" w:hAnsi="仿宋_GB2312" w:eastAsia="仿宋_GB2312" w:cs="仿宋_GB2312"/>
          <w:sz w:val="18"/>
          <w:szCs w:val="18"/>
          <w:lang w:eastAsia="zh-CN"/>
        </w:rPr>
        <w:fldChar w:fldCharType="end"/>
      </w:r>
    </w:p>
    <w:p>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_Toc23189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5.5信息发布</w:t>
      </w:r>
      <w:r>
        <w:rPr>
          <w:sz w:val="18"/>
          <w:szCs w:val="18"/>
        </w:rPr>
        <w:tab/>
      </w:r>
      <w:r>
        <w:rPr>
          <w:sz w:val="18"/>
          <w:szCs w:val="18"/>
        </w:rPr>
        <w:fldChar w:fldCharType="begin"/>
      </w:r>
      <w:r>
        <w:rPr>
          <w:sz w:val="18"/>
          <w:szCs w:val="18"/>
        </w:rPr>
        <w:instrText xml:space="preserve"> PAGEREF _Toc23189 \h </w:instrText>
      </w:r>
      <w:r>
        <w:rPr>
          <w:sz w:val="18"/>
          <w:szCs w:val="18"/>
        </w:rPr>
        <w:fldChar w:fldCharType="separate"/>
      </w:r>
      <w:r>
        <w:rPr>
          <w:sz w:val="18"/>
          <w:szCs w:val="18"/>
        </w:rPr>
        <w:t>21</w:t>
      </w:r>
      <w:r>
        <w:rPr>
          <w:sz w:val="18"/>
          <w:szCs w:val="18"/>
        </w:rPr>
        <w:fldChar w:fldCharType="end"/>
      </w:r>
      <w:r>
        <w:rPr>
          <w:rFonts w:hint="eastAsia" w:ascii="仿宋_GB2312" w:hAnsi="仿宋_GB2312" w:eastAsia="仿宋_GB2312" w:cs="仿宋_GB2312"/>
          <w:sz w:val="18"/>
          <w:szCs w:val="18"/>
          <w:lang w:eastAsia="zh-CN"/>
        </w:rPr>
        <w:fldChar w:fldCharType="end"/>
      </w:r>
    </w:p>
    <w:p>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_Toc23760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5.6 应急救援中止</w:t>
      </w:r>
      <w:r>
        <w:rPr>
          <w:sz w:val="18"/>
          <w:szCs w:val="18"/>
        </w:rPr>
        <w:tab/>
      </w:r>
      <w:r>
        <w:rPr>
          <w:sz w:val="18"/>
          <w:szCs w:val="18"/>
        </w:rPr>
        <w:fldChar w:fldCharType="begin"/>
      </w:r>
      <w:r>
        <w:rPr>
          <w:sz w:val="18"/>
          <w:szCs w:val="18"/>
        </w:rPr>
        <w:instrText xml:space="preserve"> PAGEREF _Toc23760 \h </w:instrText>
      </w:r>
      <w:r>
        <w:rPr>
          <w:sz w:val="18"/>
          <w:szCs w:val="18"/>
        </w:rPr>
        <w:fldChar w:fldCharType="separate"/>
      </w:r>
      <w:r>
        <w:rPr>
          <w:sz w:val="18"/>
          <w:szCs w:val="18"/>
        </w:rPr>
        <w:t>21</w:t>
      </w:r>
      <w:r>
        <w:rPr>
          <w:sz w:val="18"/>
          <w:szCs w:val="18"/>
        </w:rPr>
        <w:fldChar w:fldCharType="end"/>
      </w:r>
      <w:r>
        <w:rPr>
          <w:rFonts w:hint="eastAsia" w:ascii="仿宋_GB2312" w:hAnsi="仿宋_GB2312" w:eastAsia="仿宋_GB2312" w:cs="仿宋_GB2312"/>
          <w:sz w:val="18"/>
          <w:szCs w:val="18"/>
          <w:lang w:eastAsia="zh-CN"/>
        </w:rPr>
        <w:fldChar w:fldCharType="end"/>
      </w:r>
    </w:p>
    <w:p>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_Toc14654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5.7 应急结束</w:t>
      </w:r>
      <w:r>
        <w:rPr>
          <w:sz w:val="18"/>
          <w:szCs w:val="18"/>
        </w:rPr>
        <w:tab/>
      </w:r>
      <w:r>
        <w:rPr>
          <w:sz w:val="18"/>
          <w:szCs w:val="18"/>
        </w:rPr>
        <w:fldChar w:fldCharType="begin"/>
      </w:r>
      <w:r>
        <w:rPr>
          <w:sz w:val="18"/>
          <w:szCs w:val="18"/>
        </w:rPr>
        <w:instrText xml:space="preserve"> PAGEREF _Toc14654 \h </w:instrText>
      </w:r>
      <w:r>
        <w:rPr>
          <w:sz w:val="18"/>
          <w:szCs w:val="18"/>
        </w:rPr>
        <w:fldChar w:fldCharType="separate"/>
      </w:r>
      <w:r>
        <w:rPr>
          <w:sz w:val="18"/>
          <w:szCs w:val="18"/>
        </w:rPr>
        <w:t>21</w:t>
      </w:r>
      <w:r>
        <w:rPr>
          <w:sz w:val="18"/>
          <w:szCs w:val="18"/>
        </w:rPr>
        <w:fldChar w:fldCharType="end"/>
      </w:r>
      <w:r>
        <w:rPr>
          <w:rFonts w:hint="eastAsia" w:ascii="仿宋_GB2312" w:hAnsi="仿宋_GB2312" w:eastAsia="仿宋_GB2312" w:cs="仿宋_GB2312"/>
          <w:sz w:val="18"/>
          <w:szCs w:val="18"/>
          <w:lang w:eastAsia="zh-CN"/>
        </w:rPr>
        <w:fldChar w:fldCharType="end"/>
      </w:r>
    </w:p>
    <w:p>
      <w:pPr>
        <w:pStyle w:val="11"/>
        <w:tabs>
          <w:tab w:val="right" w:leader="dot" w:pos="8306"/>
        </w:tabs>
        <w:rPr>
          <w:b/>
          <w:sz w:val="18"/>
          <w:szCs w:val="18"/>
        </w:rPr>
      </w:pPr>
      <w:r>
        <w:rPr>
          <w:rFonts w:hint="eastAsia" w:ascii="仿宋_GB2312" w:hAnsi="仿宋_GB2312" w:eastAsia="仿宋_GB2312" w:cs="仿宋_GB2312"/>
          <w:b/>
          <w:sz w:val="18"/>
          <w:szCs w:val="18"/>
          <w:lang w:eastAsia="zh-CN"/>
        </w:rPr>
        <w:fldChar w:fldCharType="begin"/>
      </w:r>
      <w:r>
        <w:rPr>
          <w:rFonts w:hint="eastAsia" w:ascii="仿宋_GB2312" w:hAnsi="仿宋_GB2312" w:eastAsia="仿宋_GB2312" w:cs="仿宋_GB2312"/>
          <w:b/>
          <w:sz w:val="18"/>
          <w:szCs w:val="18"/>
          <w:lang w:eastAsia="zh-CN"/>
        </w:rPr>
        <w:instrText xml:space="preserve"> HYPERLINK \l _Toc19332 </w:instrText>
      </w:r>
      <w:r>
        <w:rPr>
          <w:rFonts w:hint="eastAsia" w:ascii="仿宋_GB2312" w:hAnsi="仿宋_GB2312" w:eastAsia="仿宋_GB2312" w:cs="仿宋_GB2312"/>
          <w:b/>
          <w:sz w:val="18"/>
          <w:szCs w:val="18"/>
          <w:lang w:eastAsia="zh-CN"/>
        </w:rPr>
        <w:fldChar w:fldCharType="separate"/>
      </w:r>
      <w:r>
        <w:rPr>
          <w:rFonts w:hint="eastAsia" w:ascii="方正黑体简体" w:hAnsi="方正黑体简体" w:eastAsia="方正黑体简体" w:cs="方正黑体简体"/>
          <w:b/>
          <w:sz w:val="18"/>
          <w:szCs w:val="18"/>
          <w:lang w:eastAsia="zh-CN"/>
        </w:rPr>
        <w:t>6.后期处置</w:t>
      </w:r>
      <w:r>
        <w:rPr>
          <w:b/>
          <w:sz w:val="18"/>
          <w:szCs w:val="18"/>
        </w:rPr>
        <w:tab/>
      </w:r>
      <w:r>
        <w:rPr>
          <w:b/>
          <w:sz w:val="18"/>
          <w:szCs w:val="18"/>
        </w:rPr>
        <w:fldChar w:fldCharType="begin"/>
      </w:r>
      <w:r>
        <w:rPr>
          <w:b/>
          <w:sz w:val="18"/>
          <w:szCs w:val="18"/>
        </w:rPr>
        <w:instrText xml:space="preserve"> PAGEREF _Toc19332 \h </w:instrText>
      </w:r>
      <w:r>
        <w:rPr>
          <w:b/>
          <w:sz w:val="18"/>
          <w:szCs w:val="18"/>
        </w:rPr>
        <w:fldChar w:fldCharType="separate"/>
      </w:r>
      <w:r>
        <w:rPr>
          <w:b/>
          <w:sz w:val="18"/>
          <w:szCs w:val="18"/>
        </w:rPr>
        <w:t>22</w:t>
      </w:r>
      <w:r>
        <w:rPr>
          <w:b/>
          <w:sz w:val="18"/>
          <w:szCs w:val="18"/>
        </w:rPr>
        <w:fldChar w:fldCharType="end"/>
      </w:r>
      <w:r>
        <w:rPr>
          <w:rFonts w:hint="eastAsia" w:ascii="仿宋_GB2312" w:hAnsi="仿宋_GB2312" w:eastAsia="仿宋_GB2312" w:cs="仿宋_GB2312"/>
          <w:b/>
          <w:sz w:val="18"/>
          <w:szCs w:val="18"/>
          <w:lang w:eastAsia="zh-CN"/>
        </w:rPr>
        <w:fldChar w:fldCharType="end"/>
      </w:r>
    </w:p>
    <w:p>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_Toc27439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6.1 善后处置</w:t>
      </w:r>
      <w:r>
        <w:rPr>
          <w:sz w:val="18"/>
          <w:szCs w:val="18"/>
        </w:rPr>
        <w:tab/>
      </w:r>
      <w:r>
        <w:rPr>
          <w:sz w:val="18"/>
          <w:szCs w:val="18"/>
        </w:rPr>
        <w:fldChar w:fldCharType="begin"/>
      </w:r>
      <w:r>
        <w:rPr>
          <w:sz w:val="18"/>
          <w:szCs w:val="18"/>
        </w:rPr>
        <w:instrText xml:space="preserve"> PAGEREF _Toc27439 \h </w:instrText>
      </w:r>
      <w:r>
        <w:rPr>
          <w:sz w:val="18"/>
          <w:szCs w:val="18"/>
        </w:rPr>
        <w:fldChar w:fldCharType="separate"/>
      </w:r>
      <w:r>
        <w:rPr>
          <w:sz w:val="18"/>
          <w:szCs w:val="18"/>
        </w:rPr>
        <w:t>22</w:t>
      </w:r>
      <w:r>
        <w:rPr>
          <w:sz w:val="18"/>
          <w:szCs w:val="18"/>
        </w:rPr>
        <w:fldChar w:fldCharType="end"/>
      </w:r>
      <w:r>
        <w:rPr>
          <w:rFonts w:hint="eastAsia" w:ascii="仿宋_GB2312" w:hAnsi="仿宋_GB2312" w:eastAsia="仿宋_GB2312" w:cs="仿宋_GB2312"/>
          <w:sz w:val="18"/>
          <w:szCs w:val="18"/>
          <w:lang w:eastAsia="zh-CN"/>
        </w:rPr>
        <w:fldChar w:fldCharType="end"/>
      </w:r>
    </w:p>
    <w:p>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_Toc24875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6.2 保险理赔</w:t>
      </w:r>
      <w:r>
        <w:rPr>
          <w:sz w:val="18"/>
          <w:szCs w:val="18"/>
        </w:rPr>
        <w:tab/>
      </w:r>
      <w:r>
        <w:rPr>
          <w:sz w:val="18"/>
          <w:szCs w:val="18"/>
        </w:rPr>
        <w:fldChar w:fldCharType="begin"/>
      </w:r>
      <w:r>
        <w:rPr>
          <w:sz w:val="18"/>
          <w:szCs w:val="18"/>
        </w:rPr>
        <w:instrText xml:space="preserve"> PAGEREF _Toc24875 \h </w:instrText>
      </w:r>
      <w:r>
        <w:rPr>
          <w:sz w:val="18"/>
          <w:szCs w:val="18"/>
        </w:rPr>
        <w:fldChar w:fldCharType="separate"/>
      </w:r>
      <w:r>
        <w:rPr>
          <w:sz w:val="18"/>
          <w:szCs w:val="18"/>
        </w:rPr>
        <w:t>22</w:t>
      </w:r>
      <w:r>
        <w:rPr>
          <w:sz w:val="18"/>
          <w:szCs w:val="18"/>
        </w:rPr>
        <w:fldChar w:fldCharType="end"/>
      </w:r>
      <w:r>
        <w:rPr>
          <w:rFonts w:hint="eastAsia" w:ascii="仿宋_GB2312" w:hAnsi="仿宋_GB2312" w:eastAsia="仿宋_GB2312" w:cs="仿宋_GB2312"/>
          <w:sz w:val="18"/>
          <w:szCs w:val="18"/>
          <w:lang w:eastAsia="zh-CN"/>
        </w:rPr>
        <w:fldChar w:fldCharType="end"/>
      </w:r>
    </w:p>
    <w:p>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_Toc14062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6.3 事故调查</w:t>
      </w:r>
      <w:r>
        <w:rPr>
          <w:sz w:val="18"/>
          <w:szCs w:val="18"/>
        </w:rPr>
        <w:tab/>
      </w:r>
      <w:r>
        <w:rPr>
          <w:sz w:val="18"/>
          <w:szCs w:val="18"/>
        </w:rPr>
        <w:fldChar w:fldCharType="begin"/>
      </w:r>
      <w:r>
        <w:rPr>
          <w:sz w:val="18"/>
          <w:szCs w:val="18"/>
        </w:rPr>
        <w:instrText xml:space="preserve"> PAGEREF _Toc14062 \h </w:instrText>
      </w:r>
      <w:r>
        <w:rPr>
          <w:sz w:val="18"/>
          <w:szCs w:val="18"/>
        </w:rPr>
        <w:fldChar w:fldCharType="separate"/>
      </w:r>
      <w:r>
        <w:rPr>
          <w:sz w:val="18"/>
          <w:szCs w:val="18"/>
        </w:rPr>
        <w:t>22</w:t>
      </w:r>
      <w:r>
        <w:rPr>
          <w:sz w:val="18"/>
          <w:szCs w:val="18"/>
        </w:rPr>
        <w:fldChar w:fldCharType="end"/>
      </w:r>
      <w:r>
        <w:rPr>
          <w:rFonts w:hint="eastAsia" w:ascii="仿宋_GB2312" w:hAnsi="仿宋_GB2312" w:eastAsia="仿宋_GB2312" w:cs="仿宋_GB2312"/>
          <w:sz w:val="18"/>
          <w:szCs w:val="18"/>
          <w:lang w:eastAsia="zh-CN"/>
        </w:rPr>
        <w:fldChar w:fldCharType="end"/>
      </w:r>
    </w:p>
    <w:p>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_Toc10865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6.4违法行为查处</w:t>
      </w:r>
      <w:r>
        <w:rPr>
          <w:sz w:val="18"/>
          <w:szCs w:val="18"/>
        </w:rPr>
        <w:tab/>
      </w:r>
      <w:r>
        <w:rPr>
          <w:sz w:val="18"/>
          <w:szCs w:val="18"/>
        </w:rPr>
        <w:fldChar w:fldCharType="begin"/>
      </w:r>
      <w:r>
        <w:rPr>
          <w:sz w:val="18"/>
          <w:szCs w:val="18"/>
        </w:rPr>
        <w:instrText xml:space="preserve"> PAGEREF _Toc10865 \h </w:instrText>
      </w:r>
      <w:r>
        <w:rPr>
          <w:sz w:val="18"/>
          <w:szCs w:val="18"/>
        </w:rPr>
        <w:fldChar w:fldCharType="separate"/>
      </w:r>
      <w:r>
        <w:rPr>
          <w:sz w:val="18"/>
          <w:szCs w:val="18"/>
        </w:rPr>
        <w:t>22</w:t>
      </w:r>
      <w:r>
        <w:rPr>
          <w:sz w:val="18"/>
          <w:szCs w:val="18"/>
        </w:rPr>
        <w:fldChar w:fldCharType="end"/>
      </w:r>
      <w:r>
        <w:rPr>
          <w:rFonts w:hint="eastAsia" w:ascii="仿宋_GB2312" w:hAnsi="仿宋_GB2312" w:eastAsia="仿宋_GB2312" w:cs="仿宋_GB2312"/>
          <w:sz w:val="18"/>
          <w:szCs w:val="18"/>
          <w:lang w:eastAsia="zh-CN"/>
        </w:rPr>
        <w:fldChar w:fldCharType="end"/>
      </w:r>
    </w:p>
    <w:p>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_Toc23984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6.5应急评估与总结</w:t>
      </w:r>
      <w:r>
        <w:rPr>
          <w:sz w:val="18"/>
          <w:szCs w:val="18"/>
        </w:rPr>
        <w:tab/>
      </w:r>
      <w:r>
        <w:rPr>
          <w:sz w:val="18"/>
          <w:szCs w:val="18"/>
        </w:rPr>
        <w:fldChar w:fldCharType="begin"/>
      </w:r>
      <w:r>
        <w:rPr>
          <w:sz w:val="18"/>
          <w:szCs w:val="18"/>
        </w:rPr>
        <w:instrText xml:space="preserve"> PAGEREF _Toc23984 \h </w:instrText>
      </w:r>
      <w:r>
        <w:rPr>
          <w:sz w:val="18"/>
          <w:szCs w:val="18"/>
        </w:rPr>
        <w:fldChar w:fldCharType="separate"/>
      </w:r>
      <w:r>
        <w:rPr>
          <w:sz w:val="18"/>
          <w:szCs w:val="18"/>
        </w:rPr>
        <w:t>22</w:t>
      </w:r>
      <w:r>
        <w:rPr>
          <w:sz w:val="18"/>
          <w:szCs w:val="18"/>
        </w:rPr>
        <w:fldChar w:fldCharType="end"/>
      </w:r>
      <w:r>
        <w:rPr>
          <w:rFonts w:hint="eastAsia" w:ascii="仿宋_GB2312" w:hAnsi="仿宋_GB2312" w:eastAsia="仿宋_GB2312" w:cs="仿宋_GB2312"/>
          <w:sz w:val="18"/>
          <w:szCs w:val="18"/>
          <w:lang w:eastAsia="zh-CN"/>
        </w:rPr>
        <w:fldChar w:fldCharType="end"/>
      </w:r>
    </w:p>
    <w:p>
      <w:pPr>
        <w:pStyle w:val="11"/>
        <w:tabs>
          <w:tab w:val="right" w:leader="dot" w:pos="8306"/>
        </w:tabs>
        <w:rPr>
          <w:b/>
          <w:sz w:val="18"/>
          <w:szCs w:val="18"/>
        </w:rPr>
      </w:pPr>
      <w:r>
        <w:rPr>
          <w:rFonts w:hint="eastAsia" w:ascii="仿宋_GB2312" w:hAnsi="仿宋_GB2312" w:eastAsia="仿宋_GB2312" w:cs="仿宋_GB2312"/>
          <w:b/>
          <w:sz w:val="18"/>
          <w:szCs w:val="18"/>
          <w:lang w:eastAsia="zh-CN"/>
        </w:rPr>
        <w:fldChar w:fldCharType="begin"/>
      </w:r>
      <w:r>
        <w:rPr>
          <w:rFonts w:hint="eastAsia" w:ascii="仿宋_GB2312" w:hAnsi="仿宋_GB2312" w:eastAsia="仿宋_GB2312" w:cs="仿宋_GB2312"/>
          <w:b/>
          <w:sz w:val="18"/>
          <w:szCs w:val="18"/>
          <w:lang w:eastAsia="zh-CN"/>
        </w:rPr>
        <w:instrText xml:space="preserve"> HYPERLINK \l _Toc5644 </w:instrText>
      </w:r>
      <w:r>
        <w:rPr>
          <w:rFonts w:hint="eastAsia" w:ascii="仿宋_GB2312" w:hAnsi="仿宋_GB2312" w:eastAsia="仿宋_GB2312" w:cs="仿宋_GB2312"/>
          <w:b/>
          <w:sz w:val="18"/>
          <w:szCs w:val="18"/>
          <w:lang w:eastAsia="zh-CN"/>
        </w:rPr>
        <w:fldChar w:fldCharType="separate"/>
      </w:r>
      <w:r>
        <w:rPr>
          <w:rFonts w:hint="eastAsia" w:ascii="方正黑体简体" w:hAnsi="方正黑体简体" w:eastAsia="方正黑体简体" w:cs="方正黑体简体"/>
          <w:b/>
          <w:sz w:val="18"/>
          <w:szCs w:val="18"/>
          <w:lang w:eastAsia="zh-CN"/>
        </w:rPr>
        <w:t>7.保障措施</w:t>
      </w:r>
      <w:r>
        <w:rPr>
          <w:b/>
          <w:sz w:val="18"/>
          <w:szCs w:val="18"/>
        </w:rPr>
        <w:tab/>
      </w:r>
      <w:r>
        <w:rPr>
          <w:b/>
          <w:sz w:val="18"/>
          <w:szCs w:val="18"/>
        </w:rPr>
        <w:fldChar w:fldCharType="begin"/>
      </w:r>
      <w:r>
        <w:rPr>
          <w:b/>
          <w:sz w:val="18"/>
          <w:szCs w:val="18"/>
        </w:rPr>
        <w:instrText xml:space="preserve"> PAGEREF _Toc5644 \h </w:instrText>
      </w:r>
      <w:r>
        <w:rPr>
          <w:b/>
          <w:sz w:val="18"/>
          <w:szCs w:val="18"/>
        </w:rPr>
        <w:fldChar w:fldCharType="separate"/>
      </w:r>
      <w:r>
        <w:rPr>
          <w:b/>
          <w:sz w:val="18"/>
          <w:szCs w:val="18"/>
        </w:rPr>
        <w:t>23</w:t>
      </w:r>
      <w:r>
        <w:rPr>
          <w:b/>
          <w:sz w:val="18"/>
          <w:szCs w:val="18"/>
        </w:rPr>
        <w:fldChar w:fldCharType="end"/>
      </w:r>
      <w:r>
        <w:rPr>
          <w:rFonts w:hint="eastAsia" w:ascii="仿宋_GB2312" w:hAnsi="仿宋_GB2312" w:eastAsia="仿宋_GB2312" w:cs="仿宋_GB2312"/>
          <w:b/>
          <w:sz w:val="18"/>
          <w:szCs w:val="18"/>
          <w:lang w:eastAsia="zh-CN"/>
        </w:rPr>
        <w:fldChar w:fldCharType="end"/>
      </w:r>
    </w:p>
    <w:p>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_Toc17504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7.1通信保障</w:t>
      </w:r>
      <w:r>
        <w:rPr>
          <w:sz w:val="18"/>
          <w:szCs w:val="18"/>
        </w:rPr>
        <w:tab/>
      </w:r>
      <w:r>
        <w:rPr>
          <w:sz w:val="18"/>
          <w:szCs w:val="18"/>
        </w:rPr>
        <w:fldChar w:fldCharType="begin"/>
      </w:r>
      <w:r>
        <w:rPr>
          <w:sz w:val="18"/>
          <w:szCs w:val="18"/>
        </w:rPr>
        <w:instrText xml:space="preserve"> PAGEREF _Toc17504 \h </w:instrText>
      </w:r>
      <w:r>
        <w:rPr>
          <w:sz w:val="18"/>
          <w:szCs w:val="18"/>
        </w:rPr>
        <w:fldChar w:fldCharType="separate"/>
      </w:r>
      <w:r>
        <w:rPr>
          <w:sz w:val="18"/>
          <w:szCs w:val="18"/>
        </w:rPr>
        <w:t>23</w:t>
      </w:r>
      <w:r>
        <w:rPr>
          <w:sz w:val="18"/>
          <w:szCs w:val="18"/>
        </w:rPr>
        <w:fldChar w:fldCharType="end"/>
      </w:r>
      <w:r>
        <w:rPr>
          <w:rFonts w:hint="eastAsia" w:ascii="仿宋_GB2312" w:hAnsi="仿宋_GB2312" w:eastAsia="仿宋_GB2312" w:cs="仿宋_GB2312"/>
          <w:sz w:val="18"/>
          <w:szCs w:val="18"/>
          <w:lang w:eastAsia="zh-CN"/>
        </w:rPr>
        <w:fldChar w:fldCharType="end"/>
      </w:r>
    </w:p>
    <w:p>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_Toc2586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7.2队伍保障</w:t>
      </w:r>
      <w:r>
        <w:rPr>
          <w:sz w:val="18"/>
          <w:szCs w:val="18"/>
        </w:rPr>
        <w:tab/>
      </w:r>
      <w:r>
        <w:rPr>
          <w:sz w:val="18"/>
          <w:szCs w:val="18"/>
        </w:rPr>
        <w:fldChar w:fldCharType="begin"/>
      </w:r>
      <w:r>
        <w:rPr>
          <w:sz w:val="18"/>
          <w:szCs w:val="18"/>
        </w:rPr>
        <w:instrText xml:space="preserve"> PAGEREF _Toc2586 \h </w:instrText>
      </w:r>
      <w:r>
        <w:rPr>
          <w:sz w:val="18"/>
          <w:szCs w:val="18"/>
        </w:rPr>
        <w:fldChar w:fldCharType="separate"/>
      </w:r>
      <w:r>
        <w:rPr>
          <w:sz w:val="18"/>
          <w:szCs w:val="18"/>
        </w:rPr>
        <w:t>23</w:t>
      </w:r>
      <w:r>
        <w:rPr>
          <w:sz w:val="18"/>
          <w:szCs w:val="18"/>
        </w:rPr>
        <w:fldChar w:fldCharType="end"/>
      </w:r>
      <w:r>
        <w:rPr>
          <w:rFonts w:hint="eastAsia" w:ascii="仿宋_GB2312" w:hAnsi="仿宋_GB2312" w:eastAsia="仿宋_GB2312" w:cs="仿宋_GB2312"/>
          <w:sz w:val="18"/>
          <w:szCs w:val="18"/>
          <w:lang w:eastAsia="zh-CN"/>
        </w:rPr>
        <w:fldChar w:fldCharType="end"/>
      </w:r>
    </w:p>
    <w:p>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_Toc509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7.3物资装备保障</w:t>
      </w:r>
      <w:r>
        <w:rPr>
          <w:sz w:val="18"/>
          <w:szCs w:val="18"/>
        </w:rPr>
        <w:tab/>
      </w:r>
      <w:r>
        <w:rPr>
          <w:sz w:val="18"/>
          <w:szCs w:val="18"/>
        </w:rPr>
        <w:fldChar w:fldCharType="begin"/>
      </w:r>
      <w:r>
        <w:rPr>
          <w:sz w:val="18"/>
          <w:szCs w:val="18"/>
        </w:rPr>
        <w:instrText xml:space="preserve"> PAGEREF _Toc509 \h </w:instrText>
      </w:r>
      <w:r>
        <w:rPr>
          <w:sz w:val="18"/>
          <w:szCs w:val="18"/>
        </w:rPr>
        <w:fldChar w:fldCharType="separate"/>
      </w:r>
      <w:r>
        <w:rPr>
          <w:sz w:val="18"/>
          <w:szCs w:val="18"/>
        </w:rPr>
        <w:t>23</w:t>
      </w:r>
      <w:r>
        <w:rPr>
          <w:sz w:val="18"/>
          <w:szCs w:val="18"/>
        </w:rPr>
        <w:fldChar w:fldCharType="end"/>
      </w:r>
      <w:r>
        <w:rPr>
          <w:rFonts w:hint="eastAsia" w:ascii="仿宋_GB2312" w:hAnsi="仿宋_GB2312" w:eastAsia="仿宋_GB2312" w:cs="仿宋_GB2312"/>
          <w:sz w:val="18"/>
          <w:szCs w:val="18"/>
          <w:lang w:eastAsia="zh-CN"/>
        </w:rPr>
        <w:fldChar w:fldCharType="end"/>
      </w:r>
    </w:p>
    <w:p>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_Toc19857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7.4资金保障</w:t>
      </w:r>
      <w:r>
        <w:rPr>
          <w:sz w:val="18"/>
          <w:szCs w:val="18"/>
        </w:rPr>
        <w:tab/>
      </w:r>
      <w:r>
        <w:rPr>
          <w:sz w:val="18"/>
          <w:szCs w:val="18"/>
        </w:rPr>
        <w:fldChar w:fldCharType="begin"/>
      </w:r>
      <w:r>
        <w:rPr>
          <w:sz w:val="18"/>
          <w:szCs w:val="18"/>
        </w:rPr>
        <w:instrText xml:space="preserve"> PAGEREF _Toc19857 \h </w:instrText>
      </w:r>
      <w:r>
        <w:rPr>
          <w:sz w:val="18"/>
          <w:szCs w:val="18"/>
        </w:rPr>
        <w:fldChar w:fldCharType="separate"/>
      </w:r>
      <w:r>
        <w:rPr>
          <w:sz w:val="18"/>
          <w:szCs w:val="18"/>
        </w:rPr>
        <w:t>23</w:t>
      </w:r>
      <w:r>
        <w:rPr>
          <w:sz w:val="18"/>
          <w:szCs w:val="18"/>
        </w:rPr>
        <w:fldChar w:fldCharType="end"/>
      </w:r>
      <w:r>
        <w:rPr>
          <w:rFonts w:hint="eastAsia" w:ascii="仿宋_GB2312" w:hAnsi="仿宋_GB2312" w:eastAsia="仿宋_GB2312" w:cs="仿宋_GB2312"/>
          <w:sz w:val="18"/>
          <w:szCs w:val="18"/>
          <w:lang w:eastAsia="zh-CN"/>
        </w:rPr>
        <w:fldChar w:fldCharType="end"/>
      </w:r>
    </w:p>
    <w:p>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_Toc26060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kern w:val="2"/>
          <w:sz w:val="18"/>
          <w:szCs w:val="22"/>
          <w:lang w:val="en-US" w:eastAsia="zh-CN" w:bidi="ar-SA"/>
        </w:rPr>
        <w:t>7.5其他保障</w:t>
      </w:r>
      <w:r>
        <w:rPr>
          <w:sz w:val="18"/>
          <w:szCs w:val="18"/>
        </w:rPr>
        <w:tab/>
      </w:r>
      <w:r>
        <w:rPr>
          <w:sz w:val="18"/>
          <w:szCs w:val="18"/>
        </w:rPr>
        <w:fldChar w:fldCharType="begin"/>
      </w:r>
      <w:r>
        <w:rPr>
          <w:sz w:val="18"/>
          <w:szCs w:val="18"/>
        </w:rPr>
        <w:instrText xml:space="preserve"> PAGEREF _Toc26060 \h </w:instrText>
      </w:r>
      <w:r>
        <w:rPr>
          <w:sz w:val="18"/>
          <w:szCs w:val="18"/>
        </w:rPr>
        <w:fldChar w:fldCharType="separate"/>
      </w:r>
      <w:r>
        <w:rPr>
          <w:sz w:val="18"/>
          <w:szCs w:val="18"/>
        </w:rPr>
        <w:t>24</w:t>
      </w:r>
      <w:r>
        <w:rPr>
          <w:sz w:val="18"/>
          <w:szCs w:val="18"/>
        </w:rPr>
        <w:fldChar w:fldCharType="end"/>
      </w:r>
      <w:r>
        <w:rPr>
          <w:rFonts w:hint="eastAsia" w:ascii="仿宋_GB2312" w:hAnsi="仿宋_GB2312" w:eastAsia="仿宋_GB2312" w:cs="仿宋_GB2312"/>
          <w:sz w:val="18"/>
          <w:szCs w:val="18"/>
          <w:lang w:eastAsia="zh-CN"/>
        </w:rPr>
        <w:fldChar w:fldCharType="end"/>
      </w:r>
    </w:p>
    <w:p>
      <w:pPr>
        <w:pStyle w:val="11"/>
        <w:tabs>
          <w:tab w:val="right" w:leader="dot" w:pos="8306"/>
        </w:tabs>
        <w:rPr>
          <w:b/>
          <w:sz w:val="18"/>
          <w:szCs w:val="18"/>
        </w:rPr>
      </w:pPr>
      <w:r>
        <w:rPr>
          <w:rFonts w:hint="eastAsia" w:ascii="仿宋_GB2312" w:hAnsi="仿宋_GB2312" w:eastAsia="仿宋_GB2312" w:cs="仿宋_GB2312"/>
          <w:b/>
          <w:sz w:val="18"/>
          <w:szCs w:val="18"/>
          <w:lang w:eastAsia="zh-CN"/>
        </w:rPr>
        <w:fldChar w:fldCharType="begin"/>
      </w:r>
      <w:r>
        <w:rPr>
          <w:rFonts w:hint="eastAsia" w:ascii="仿宋_GB2312" w:hAnsi="仿宋_GB2312" w:eastAsia="仿宋_GB2312" w:cs="仿宋_GB2312"/>
          <w:b/>
          <w:sz w:val="18"/>
          <w:szCs w:val="18"/>
          <w:lang w:eastAsia="zh-CN"/>
        </w:rPr>
        <w:instrText xml:space="preserve"> HYPERLINK \l _Toc11814 </w:instrText>
      </w:r>
      <w:r>
        <w:rPr>
          <w:rFonts w:hint="eastAsia" w:ascii="仿宋_GB2312" w:hAnsi="仿宋_GB2312" w:eastAsia="仿宋_GB2312" w:cs="仿宋_GB2312"/>
          <w:b/>
          <w:sz w:val="18"/>
          <w:szCs w:val="18"/>
          <w:lang w:eastAsia="zh-CN"/>
        </w:rPr>
        <w:fldChar w:fldCharType="separate"/>
      </w:r>
      <w:r>
        <w:rPr>
          <w:rFonts w:hint="eastAsia" w:ascii="方正黑体简体" w:hAnsi="方正黑体简体" w:eastAsia="方正黑体简体" w:cs="方正黑体简体"/>
          <w:b/>
          <w:sz w:val="18"/>
          <w:szCs w:val="18"/>
          <w:lang w:eastAsia="zh-CN"/>
        </w:rPr>
        <w:t>8.宣传培训和演练</w:t>
      </w:r>
      <w:r>
        <w:rPr>
          <w:b/>
          <w:sz w:val="18"/>
          <w:szCs w:val="18"/>
        </w:rPr>
        <w:tab/>
      </w:r>
      <w:r>
        <w:rPr>
          <w:b/>
          <w:sz w:val="18"/>
          <w:szCs w:val="18"/>
        </w:rPr>
        <w:fldChar w:fldCharType="begin"/>
      </w:r>
      <w:r>
        <w:rPr>
          <w:b/>
          <w:sz w:val="18"/>
          <w:szCs w:val="18"/>
        </w:rPr>
        <w:instrText xml:space="preserve"> PAGEREF _Toc11814 \h </w:instrText>
      </w:r>
      <w:r>
        <w:rPr>
          <w:b/>
          <w:sz w:val="18"/>
          <w:szCs w:val="18"/>
        </w:rPr>
        <w:fldChar w:fldCharType="separate"/>
      </w:r>
      <w:r>
        <w:rPr>
          <w:b/>
          <w:sz w:val="18"/>
          <w:szCs w:val="18"/>
        </w:rPr>
        <w:t>24</w:t>
      </w:r>
      <w:r>
        <w:rPr>
          <w:b/>
          <w:sz w:val="18"/>
          <w:szCs w:val="18"/>
        </w:rPr>
        <w:fldChar w:fldCharType="end"/>
      </w:r>
      <w:r>
        <w:rPr>
          <w:rFonts w:hint="eastAsia" w:ascii="仿宋_GB2312" w:hAnsi="仿宋_GB2312" w:eastAsia="仿宋_GB2312" w:cs="仿宋_GB2312"/>
          <w:b/>
          <w:sz w:val="18"/>
          <w:szCs w:val="18"/>
          <w:lang w:eastAsia="zh-CN"/>
        </w:rPr>
        <w:fldChar w:fldCharType="end"/>
      </w:r>
    </w:p>
    <w:p>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_Toc23597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8.1宣传培训</w:t>
      </w:r>
      <w:r>
        <w:rPr>
          <w:sz w:val="18"/>
          <w:szCs w:val="18"/>
        </w:rPr>
        <w:tab/>
      </w:r>
      <w:r>
        <w:rPr>
          <w:sz w:val="18"/>
          <w:szCs w:val="18"/>
        </w:rPr>
        <w:fldChar w:fldCharType="begin"/>
      </w:r>
      <w:r>
        <w:rPr>
          <w:sz w:val="18"/>
          <w:szCs w:val="18"/>
        </w:rPr>
        <w:instrText xml:space="preserve"> PAGEREF _Toc23597 \h </w:instrText>
      </w:r>
      <w:r>
        <w:rPr>
          <w:sz w:val="18"/>
          <w:szCs w:val="18"/>
        </w:rPr>
        <w:fldChar w:fldCharType="separate"/>
      </w:r>
      <w:r>
        <w:rPr>
          <w:sz w:val="18"/>
          <w:szCs w:val="18"/>
        </w:rPr>
        <w:t>24</w:t>
      </w:r>
      <w:r>
        <w:rPr>
          <w:sz w:val="18"/>
          <w:szCs w:val="18"/>
        </w:rPr>
        <w:fldChar w:fldCharType="end"/>
      </w:r>
      <w:r>
        <w:rPr>
          <w:rFonts w:hint="eastAsia" w:ascii="仿宋_GB2312" w:hAnsi="仿宋_GB2312" w:eastAsia="仿宋_GB2312" w:cs="仿宋_GB2312"/>
          <w:sz w:val="18"/>
          <w:szCs w:val="18"/>
          <w:lang w:eastAsia="zh-CN"/>
        </w:rPr>
        <w:fldChar w:fldCharType="end"/>
      </w:r>
    </w:p>
    <w:p>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_Toc20039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8.2演练</w:t>
      </w:r>
      <w:r>
        <w:rPr>
          <w:sz w:val="18"/>
          <w:szCs w:val="18"/>
        </w:rPr>
        <w:tab/>
      </w:r>
      <w:r>
        <w:rPr>
          <w:sz w:val="18"/>
          <w:szCs w:val="18"/>
        </w:rPr>
        <w:fldChar w:fldCharType="begin"/>
      </w:r>
      <w:r>
        <w:rPr>
          <w:sz w:val="18"/>
          <w:szCs w:val="18"/>
        </w:rPr>
        <w:instrText xml:space="preserve"> PAGEREF _Toc20039 \h </w:instrText>
      </w:r>
      <w:r>
        <w:rPr>
          <w:sz w:val="18"/>
          <w:szCs w:val="18"/>
        </w:rPr>
        <w:fldChar w:fldCharType="separate"/>
      </w:r>
      <w:r>
        <w:rPr>
          <w:sz w:val="18"/>
          <w:szCs w:val="18"/>
        </w:rPr>
        <w:t>24</w:t>
      </w:r>
      <w:r>
        <w:rPr>
          <w:sz w:val="18"/>
          <w:szCs w:val="18"/>
        </w:rPr>
        <w:fldChar w:fldCharType="end"/>
      </w:r>
      <w:r>
        <w:rPr>
          <w:rFonts w:hint="eastAsia" w:ascii="仿宋_GB2312" w:hAnsi="仿宋_GB2312" w:eastAsia="仿宋_GB2312" w:cs="仿宋_GB2312"/>
          <w:sz w:val="18"/>
          <w:szCs w:val="18"/>
          <w:lang w:eastAsia="zh-CN"/>
        </w:rPr>
        <w:fldChar w:fldCharType="end"/>
      </w:r>
    </w:p>
    <w:p>
      <w:pPr>
        <w:pStyle w:val="11"/>
        <w:tabs>
          <w:tab w:val="right" w:leader="dot" w:pos="8306"/>
        </w:tabs>
        <w:rPr>
          <w:b/>
          <w:sz w:val="18"/>
          <w:szCs w:val="18"/>
        </w:rPr>
      </w:pPr>
      <w:r>
        <w:rPr>
          <w:rFonts w:hint="eastAsia" w:ascii="仿宋_GB2312" w:hAnsi="仿宋_GB2312" w:eastAsia="仿宋_GB2312" w:cs="仿宋_GB2312"/>
          <w:b/>
          <w:sz w:val="18"/>
          <w:szCs w:val="18"/>
          <w:lang w:eastAsia="zh-CN"/>
        </w:rPr>
        <w:fldChar w:fldCharType="begin"/>
      </w:r>
      <w:r>
        <w:rPr>
          <w:rFonts w:hint="eastAsia" w:ascii="仿宋_GB2312" w:hAnsi="仿宋_GB2312" w:eastAsia="仿宋_GB2312" w:cs="仿宋_GB2312"/>
          <w:b/>
          <w:sz w:val="18"/>
          <w:szCs w:val="18"/>
          <w:lang w:eastAsia="zh-CN"/>
        </w:rPr>
        <w:instrText xml:space="preserve"> HYPERLINK \l _Toc3867 </w:instrText>
      </w:r>
      <w:r>
        <w:rPr>
          <w:rFonts w:hint="eastAsia" w:ascii="仿宋_GB2312" w:hAnsi="仿宋_GB2312" w:eastAsia="仿宋_GB2312" w:cs="仿宋_GB2312"/>
          <w:b/>
          <w:sz w:val="18"/>
          <w:szCs w:val="18"/>
          <w:lang w:eastAsia="zh-CN"/>
        </w:rPr>
        <w:fldChar w:fldCharType="separate"/>
      </w:r>
      <w:r>
        <w:rPr>
          <w:rFonts w:hint="eastAsia" w:ascii="方正黑体简体" w:hAnsi="方正黑体简体" w:eastAsia="方正黑体简体" w:cs="方正黑体简体"/>
          <w:b/>
          <w:sz w:val="18"/>
          <w:szCs w:val="18"/>
          <w:lang w:eastAsia="zh-CN"/>
        </w:rPr>
        <w:t>9.责任追究</w:t>
      </w:r>
      <w:r>
        <w:rPr>
          <w:b/>
          <w:sz w:val="18"/>
          <w:szCs w:val="18"/>
        </w:rPr>
        <w:tab/>
      </w:r>
      <w:r>
        <w:rPr>
          <w:b/>
          <w:sz w:val="18"/>
          <w:szCs w:val="18"/>
        </w:rPr>
        <w:fldChar w:fldCharType="begin"/>
      </w:r>
      <w:r>
        <w:rPr>
          <w:b/>
          <w:sz w:val="18"/>
          <w:szCs w:val="18"/>
        </w:rPr>
        <w:instrText xml:space="preserve"> PAGEREF _Toc3867 \h </w:instrText>
      </w:r>
      <w:r>
        <w:rPr>
          <w:b/>
          <w:sz w:val="18"/>
          <w:szCs w:val="18"/>
        </w:rPr>
        <w:fldChar w:fldCharType="separate"/>
      </w:r>
      <w:r>
        <w:rPr>
          <w:b/>
          <w:sz w:val="18"/>
          <w:szCs w:val="18"/>
        </w:rPr>
        <w:t>25</w:t>
      </w:r>
      <w:r>
        <w:rPr>
          <w:b/>
          <w:sz w:val="18"/>
          <w:szCs w:val="18"/>
        </w:rPr>
        <w:fldChar w:fldCharType="end"/>
      </w:r>
      <w:r>
        <w:rPr>
          <w:rFonts w:hint="eastAsia" w:ascii="仿宋_GB2312" w:hAnsi="仿宋_GB2312" w:eastAsia="仿宋_GB2312" w:cs="仿宋_GB2312"/>
          <w:b/>
          <w:sz w:val="18"/>
          <w:szCs w:val="18"/>
          <w:lang w:eastAsia="zh-CN"/>
        </w:rPr>
        <w:fldChar w:fldCharType="end"/>
      </w:r>
    </w:p>
    <w:p>
      <w:pPr>
        <w:pStyle w:val="11"/>
        <w:tabs>
          <w:tab w:val="right" w:leader="dot" w:pos="8306"/>
        </w:tabs>
        <w:rPr>
          <w:b/>
          <w:sz w:val="18"/>
          <w:szCs w:val="18"/>
        </w:rPr>
      </w:pPr>
      <w:r>
        <w:rPr>
          <w:rFonts w:hint="eastAsia" w:ascii="仿宋_GB2312" w:hAnsi="仿宋_GB2312" w:eastAsia="仿宋_GB2312" w:cs="仿宋_GB2312"/>
          <w:b/>
          <w:sz w:val="18"/>
          <w:szCs w:val="18"/>
          <w:lang w:eastAsia="zh-CN"/>
        </w:rPr>
        <w:fldChar w:fldCharType="begin"/>
      </w:r>
      <w:r>
        <w:rPr>
          <w:rFonts w:hint="eastAsia" w:ascii="仿宋_GB2312" w:hAnsi="仿宋_GB2312" w:eastAsia="仿宋_GB2312" w:cs="仿宋_GB2312"/>
          <w:b/>
          <w:sz w:val="18"/>
          <w:szCs w:val="18"/>
          <w:lang w:eastAsia="zh-CN"/>
        </w:rPr>
        <w:instrText xml:space="preserve"> HYPERLINK \l _Toc9255 </w:instrText>
      </w:r>
      <w:r>
        <w:rPr>
          <w:rFonts w:hint="eastAsia" w:ascii="仿宋_GB2312" w:hAnsi="仿宋_GB2312" w:eastAsia="仿宋_GB2312" w:cs="仿宋_GB2312"/>
          <w:b/>
          <w:sz w:val="18"/>
          <w:szCs w:val="18"/>
          <w:lang w:eastAsia="zh-CN"/>
        </w:rPr>
        <w:fldChar w:fldCharType="separate"/>
      </w:r>
      <w:r>
        <w:rPr>
          <w:rFonts w:hint="eastAsia" w:ascii="方正黑体简体" w:hAnsi="方正黑体简体" w:eastAsia="方正黑体简体" w:cs="方正黑体简体"/>
          <w:b/>
          <w:sz w:val="18"/>
          <w:szCs w:val="18"/>
          <w:lang w:eastAsia="zh-CN"/>
        </w:rPr>
        <w:t>10.附则</w:t>
      </w:r>
      <w:r>
        <w:rPr>
          <w:b/>
          <w:sz w:val="18"/>
          <w:szCs w:val="18"/>
        </w:rPr>
        <w:tab/>
      </w:r>
      <w:r>
        <w:rPr>
          <w:b/>
          <w:sz w:val="18"/>
          <w:szCs w:val="18"/>
        </w:rPr>
        <w:fldChar w:fldCharType="begin"/>
      </w:r>
      <w:r>
        <w:rPr>
          <w:b/>
          <w:sz w:val="18"/>
          <w:szCs w:val="18"/>
        </w:rPr>
        <w:instrText xml:space="preserve"> PAGEREF _Toc9255 \h </w:instrText>
      </w:r>
      <w:r>
        <w:rPr>
          <w:b/>
          <w:sz w:val="18"/>
          <w:szCs w:val="18"/>
        </w:rPr>
        <w:fldChar w:fldCharType="separate"/>
      </w:r>
      <w:r>
        <w:rPr>
          <w:b/>
          <w:sz w:val="18"/>
          <w:szCs w:val="18"/>
        </w:rPr>
        <w:t>25</w:t>
      </w:r>
      <w:r>
        <w:rPr>
          <w:b/>
          <w:sz w:val="18"/>
          <w:szCs w:val="18"/>
        </w:rPr>
        <w:fldChar w:fldCharType="end"/>
      </w:r>
      <w:r>
        <w:rPr>
          <w:rFonts w:hint="eastAsia" w:ascii="仿宋_GB2312" w:hAnsi="仿宋_GB2312" w:eastAsia="仿宋_GB2312" w:cs="仿宋_GB2312"/>
          <w:b/>
          <w:sz w:val="18"/>
          <w:szCs w:val="18"/>
          <w:lang w:eastAsia="zh-CN"/>
        </w:rPr>
        <w:fldChar w:fldCharType="end"/>
      </w:r>
    </w:p>
    <w:p>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_Toc18330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10.1预案</w:t>
      </w:r>
      <w:r>
        <w:rPr>
          <w:rFonts w:hint="eastAsia" w:ascii="楷体_GB2312" w:hAnsi="楷体_GB2312" w:eastAsia="楷体_GB2312" w:cs="楷体_GB2312"/>
          <w:sz w:val="18"/>
          <w:szCs w:val="18"/>
          <w:lang w:val="en-US" w:eastAsia="zh-CN"/>
        </w:rPr>
        <w:t>管理</w:t>
      </w:r>
      <w:r>
        <w:rPr>
          <w:sz w:val="18"/>
          <w:szCs w:val="18"/>
        </w:rPr>
        <w:tab/>
      </w:r>
      <w:r>
        <w:rPr>
          <w:sz w:val="18"/>
          <w:szCs w:val="18"/>
        </w:rPr>
        <w:fldChar w:fldCharType="begin"/>
      </w:r>
      <w:r>
        <w:rPr>
          <w:sz w:val="18"/>
          <w:szCs w:val="18"/>
        </w:rPr>
        <w:instrText xml:space="preserve"> PAGEREF _Toc18330 \h </w:instrText>
      </w:r>
      <w:r>
        <w:rPr>
          <w:sz w:val="18"/>
          <w:szCs w:val="18"/>
        </w:rPr>
        <w:fldChar w:fldCharType="separate"/>
      </w:r>
      <w:r>
        <w:rPr>
          <w:sz w:val="18"/>
          <w:szCs w:val="18"/>
        </w:rPr>
        <w:t>25</w:t>
      </w:r>
      <w:r>
        <w:rPr>
          <w:sz w:val="18"/>
          <w:szCs w:val="18"/>
        </w:rPr>
        <w:fldChar w:fldCharType="end"/>
      </w:r>
      <w:r>
        <w:rPr>
          <w:rFonts w:hint="eastAsia" w:ascii="仿宋_GB2312" w:hAnsi="仿宋_GB2312" w:eastAsia="仿宋_GB2312" w:cs="仿宋_GB2312"/>
          <w:sz w:val="18"/>
          <w:szCs w:val="18"/>
          <w:lang w:eastAsia="zh-CN"/>
        </w:rPr>
        <w:fldChar w:fldCharType="end"/>
      </w:r>
    </w:p>
    <w:p>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_Toc14829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10.</w:t>
      </w:r>
      <w:r>
        <w:rPr>
          <w:rFonts w:hint="eastAsia" w:ascii="楷体_GB2312" w:hAnsi="楷体_GB2312" w:eastAsia="楷体_GB2312" w:cs="楷体_GB2312"/>
          <w:sz w:val="18"/>
          <w:szCs w:val="18"/>
          <w:lang w:val="en-US" w:eastAsia="zh-CN"/>
        </w:rPr>
        <w:t>2</w:t>
      </w:r>
      <w:r>
        <w:rPr>
          <w:rFonts w:hint="eastAsia" w:ascii="楷体_GB2312" w:hAnsi="楷体_GB2312" w:eastAsia="楷体_GB2312" w:cs="楷体_GB2312"/>
          <w:sz w:val="18"/>
          <w:szCs w:val="18"/>
          <w:lang w:eastAsia="zh-CN"/>
        </w:rPr>
        <w:t>预案</w:t>
      </w:r>
      <w:r>
        <w:rPr>
          <w:rFonts w:hint="eastAsia" w:ascii="楷体_GB2312" w:hAnsi="楷体_GB2312" w:eastAsia="楷体_GB2312" w:cs="楷体_GB2312"/>
          <w:sz w:val="18"/>
          <w:szCs w:val="18"/>
          <w:lang w:val="en-US" w:eastAsia="zh-CN"/>
        </w:rPr>
        <w:t>衔接</w:t>
      </w:r>
      <w:r>
        <w:rPr>
          <w:sz w:val="18"/>
          <w:szCs w:val="18"/>
        </w:rPr>
        <w:tab/>
      </w:r>
      <w:r>
        <w:rPr>
          <w:sz w:val="18"/>
          <w:szCs w:val="18"/>
        </w:rPr>
        <w:fldChar w:fldCharType="begin"/>
      </w:r>
      <w:r>
        <w:rPr>
          <w:sz w:val="18"/>
          <w:szCs w:val="18"/>
        </w:rPr>
        <w:instrText xml:space="preserve"> PAGEREF _Toc14829 \h </w:instrText>
      </w:r>
      <w:r>
        <w:rPr>
          <w:sz w:val="18"/>
          <w:szCs w:val="18"/>
        </w:rPr>
        <w:fldChar w:fldCharType="separate"/>
      </w:r>
      <w:r>
        <w:rPr>
          <w:sz w:val="18"/>
          <w:szCs w:val="18"/>
        </w:rPr>
        <w:t>25</w:t>
      </w:r>
      <w:r>
        <w:rPr>
          <w:sz w:val="18"/>
          <w:szCs w:val="18"/>
        </w:rPr>
        <w:fldChar w:fldCharType="end"/>
      </w:r>
      <w:r>
        <w:rPr>
          <w:rFonts w:hint="eastAsia" w:ascii="仿宋_GB2312" w:hAnsi="仿宋_GB2312" w:eastAsia="仿宋_GB2312" w:cs="仿宋_GB2312"/>
          <w:sz w:val="18"/>
          <w:szCs w:val="18"/>
          <w:lang w:eastAsia="zh-CN"/>
        </w:rPr>
        <w:fldChar w:fldCharType="end"/>
      </w:r>
    </w:p>
    <w:p>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_Toc32671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10.</w:t>
      </w:r>
      <w:r>
        <w:rPr>
          <w:rFonts w:hint="eastAsia" w:ascii="楷体_GB2312" w:hAnsi="楷体_GB2312" w:eastAsia="楷体_GB2312" w:cs="楷体_GB2312"/>
          <w:sz w:val="18"/>
          <w:szCs w:val="18"/>
          <w:lang w:val="en-US" w:eastAsia="zh-CN"/>
        </w:rPr>
        <w:t>3</w:t>
      </w:r>
      <w:r>
        <w:rPr>
          <w:rFonts w:hint="eastAsia" w:ascii="楷体_GB2312" w:hAnsi="楷体_GB2312" w:eastAsia="楷体_GB2312" w:cs="楷体_GB2312"/>
          <w:sz w:val="18"/>
          <w:szCs w:val="18"/>
          <w:lang w:eastAsia="zh-CN"/>
        </w:rPr>
        <w:t xml:space="preserve"> 奖励与责任</w:t>
      </w:r>
      <w:r>
        <w:rPr>
          <w:sz w:val="18"/>
          <w:szCs w:val="18"/>
        </w:rPr>
        <w:tab/>
      </w:r>
      <w:r>
        <w:rPr>
          <w:sz w:val="18"/>
          <w:szCs w:val="18"/>
        </w:rPr>
        <w:fldChar w:fldCharType="begin"/>
      </w:r>
      <w:r>
        <w:rPr>
          <w:sz w:val="18"/>
          <w:szCs w:val="18"/>
        </w:rPr>
        <w:instrText xml:space="preserve"> PAGEREF _Toc32671 \h </w:instrText>
      </w:r>
      <w:r>
        <w:rPr>
          <w:sz w:val="18"/>
          <w:szCs w:val="18"/>
        </w:rPr>
        <w:fldChar w:fldCharType="separate"/>
      </w:r>
      <w:r>
        <w:rPr>
          <w:sz w:val="18"/>
          <w:szCs w:val="18"/>
        </w:rPr>
        <w:t>25</w:t>
      </w:r>
      <w:r>
        <w:rPr>
          <w:sz w:val="18"/>
          <w:szCs w:val="18"/>
        </w:rPr>
        <w:fldChar w:fldCharType="end"/>
      </w:r>
      <w:r>
        <w:rPr>
          <w:rFonts w:hint="eastAsia" w:ascii="仿宋_GB2312" w:hAnsi="仿宋_GB2312" w:eastAsia="仿宋_GB2312" w:cs="仿宋_GB2312"/>
          <w:sz w:val="18"/>
          <w:szCs w:val="18"/>
          <w:lang w:eastAsia="zh-CN"/>
        </w:rPr>
        <w:fldChar w:fldCharType="end"/>
      </w:r>
    </w:p>
    <w:p>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_Toc124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10.</w:t>
      </w:r>
      <w:r>
        <w:rPr>
          <w:rFonts w:hint="eastAsia" w:ascii="楷体_GB2312" w:hAnsi="楷体_GB2312" w:eastAsia="楷体_GB2312" w:cs="楷体_GB2312"/>
          <w:sz w:val="18"/>
          <w:szCs w:val="18"/>
          <w:lang w:val="en-US" w:eastAsia="zh-CN"/>
        </w:rPr>
        <w:t>4</w:t>
      </w:r>
      <w:r>
        <w:rPr>
          <w:rFonts w:hint="eastAsia" w:ascii="楷体_GB2312" w:hAnsi="楷体_GB2312" w:eastAsia="楷体_GB2312" w:cs="楷体_GB2312"/>
          <w:sz w:val="18"/>
          <w:szCs w:val="18"/>
          <w:lang w:eastAsia="zh-CN"/>
        </w:rPr>
        <w:t xml:space="preserve"> 预案解释</w:t>
      </w:r>
      <w:r>
        <w:rPr>
          <w:sz w:val="18"/>
          <w:szCs w:val="18"/>
        </w:rPr>
        <w:tab/>
      </w:r>
      <w:r>
        <w:rPr>
          <w:sz w:val="18"/>
          <w:szCs w:val="18"/>
        </w:rPr>
        <w:fldChar w:fldCharType="begin"/>
      </w:r>
      <w:r>
        <w:rPr>
          <w:sz w:val="18"/>
          <w:szCs w:val="18"/>
        </w:rPr>
        <w:instrText xml:space="preserve"> PAGEREF _Toc124 \h </w:instrText>
      </w:r>
      <w:r>
        <w:rPr>
          <w:sz w:val="18"/>
          <w:szCs w:val="18"/>
        </w:rPr>
        <w:fldChar w:fldCharType="separate"/>
      </w:r>
      <w:r>
        <w:rPr>
          <w:sz w:val="18"/>
          <w:szCs w:val="18"/>
        </w:rPr>
        <w:t>25</w:t>
      </w:r>
      <w:r>
        <w:rPr>
          <w:sz w:val="18"/>
          <w:szCs w:val="18"/>
        </w:rPr>
        <w:fldChar w:fldCharType="end"/>
      </w:r>
      <w:r>
        <w:rPr>
          <w:rFonts w:hint="eastAsia" w:ascii="仿宋_GB2312" w:hAnsi="仿宋_GB2312" w:eastAsia="仿宋_GB2312" w:cs="仿宋_GB2312"/>
          <w:sz w:val="18"/>
          <w:szCs w:val="18"/>
          <w:lang w:eastAsia="zh-CN"/>
        </w:rPr>
        <w:fldChar w:fldCharType="end"/>
      </w:r>
    </w:p>
    <w:p>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_Toc20536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10.</w:t>
      </w:r>
      <w:r>
        <w:rPr>
          <w:rFonts w:hint="eastAsia" w:ascii="楷体_GB2312" w:hAnsi="楷体_GB2312" w:eastAsia="楷体_GB2312" w:cs="楷体_GB2312"/>
          <w:sz w:val="18"/>
          <w:szCs w:val="18"/>
          <w:lang w:val="en-US" w:eastAsia="zh-CN"/>
        </w:rPr>
        <w:t>5</w:t>
      </w:r>
      <w:r>
        <w:rPr>
          <w:rFonts w:hint="eastAsia" w:ascii="楷体_GB2312" w:hAnsi="楷体_GB2312" w:eastAsia="楷体_GB2312" w:cs="楷体_GB2312"/>
          <w:sz w:val="18"/>
          <w:szCs w:val="18"/>
          <w:lang w:eastAsia="zh-CN"/>
        </w:rPr>
        <w:t xml:space="preserve"> 预案实施时间</w:t>
      </w:r>
      <w:r>
        <w:rPr>
          <w:sz w:val="18"/>
          <w:szCs w:val="18"/>
        </w:rPr>
        <w:tab/>
      </w:r>
      <w:r>
        <w:rPr>
          <w:sz w:val="18"/>
          <w:szCs w:val="18"/>
        </w:rPr>
        <w:fldChar w:fldCharType="begin"/>
      </w:r>
      <w:r>
        <w:rPr>
          <w:sz w:val="18"/>
          <w:szCs w:val="18"/>
        </w:rPr>
        <w:instrText xml:space="preserve"> PAGEREF _Toc20536 \h </w:instrText>
      </w:r>
      <w:r>
        <w:rPr>
          <w:sz w:val="18"/>
          <w:szCs w:val="18"/>
        </w:rPr>
        <w:fldChar w:fldCharType="separate"/>
      </w:r>
      <w:r>
        <w:rPr>
          <w:sz w:val="18"/>
          <w:szCs w:val="18"/>
        </w:rPr>
        <w:t>25</w:t>
      </w:r>
      <w:r>
        <w:rPr>
          <w:sz w:val="18"/>
          <w:szCs w:val="18"/>
        </w:rPr>
        <w:fldChar w:fldCharType="end"/>
      </w:r>
      <w:r>
        <w:rPr>
          <w:rFonts w:hint="eastAsia" w:ascii="仿宋_GB2312" w:hAnsi="仿宋_GB2312" w:eastAsia="仿宋_GB2312" w:cs="仿宋_GB2312"/>
          <w:sz w:val="18"/>
          <w:szCs w:val="18"/>
          <w:lang w:eastAsia="zh-CN"/>
        </w:rPr>
        <w:fldChar w:fldCharType="end"/>
      </w:r>
    </w:p>
    <w:p>
      <w:pPr>
        <w:pStyle w:val="11"/>
        <w:tabs>
          <w:tab w:val="right" w:leader="dot" w:pos="8306"/>
        </w:tabs>
        <w:rPr>
          <w:b/>
          <w:sz w:val="18"/>
          <w:szCs w:val="18"/>
        </w:rPr>
      </w:pPr>
      <w:r>
        <w:rPr>
          <w:rFonts w:hint="eastAsia" w:ascii="仿宋_GB2312" w:hAnsi="仿宋_GB2312" w:eastAsia="仿宋_GB2312" w:cs="仿宋_GB2312"/>
          <w:b/>
          <w:sz w:val="18"/>
          <w:szCs w:val="18"/>
          <w:lang w:eastAsia="zh-CN"/>
        </w:rPr>
        <w:fldChar w:fldCharType="begin"/>
      </w:r>
      <w:r>
        <w:rPr>
          <w:rFonts w:hint="eastAsia" w:ascii="仿宋_GB2312" w:hAnsi="仿宋_GB2312" w:eastAsia="仿宋_GB2312" w:cs="仿宋_GB2312"/>
          <w:b/>
          <w:sz w:val="18"/>
          <w:szCs w:val="18"/>
          <w:lang w:eastAsia="zh-CN"/>
        </w:rPr>
        <w:instrText xml:space="preserve"> HYPERLINK \l _Toc20858 </w:instrText>
      </w:r>
      <w:r>
        <w:rPr>
          <w:rFonts w:hint="eastAsia" w:ascii="仿宋_GB2312" w:hAnsi="仿宋_GB2312" w:eastAsia="仿宋_GB2312" w:cs="仿宋_GB2312"/>
          <w:b/>
          <w:sz w:val="18"/>
          <w:szCs w:val="18"/>
          <w:lang w:eastAsia="zh-CN"/>
        </w:rPr>
        <w:fldChar w:fldCharType="separate"/>
      </w:r>
      <w:r>
        <w:rPr>
          <w:rFonts w:hint="eastAsia" w:ascii="方正黑体简体" w:hAnsi="方正黑体简体" w:eastAsia="方正黑体简体" w:cs="方正黑体简体"/>
          <w:b/>
          <w:sz w:val="18"/>
          <w:szCs w:val="18"/>
          <w:lang w:eastAsia="zh-CN"/>
        </w:rPr>
        <w:t>1</w:t>
      </w:r>
      <w:r>
        <w:rPr>
          <w:rFonts w:hint="eastAsia" w:ascii="方正黑体简体" w:hAnsi="方正黑体简体" w:eastAsia="方正黑体简体" w:cs="方正黑体简体"/>
          <w:b/>
          <w:sz w:val="18"/>
          <w:szCs w:val="18"/>
          <w:lang w:val="en-US" w:eastAsia="zh-CN"/>
        </w:rPr>
        <w:t>1</w:t>
      </w:r>
      <w:r>
        <w:rPr>
          <w:rFonts w:hint="eastAsia" w:ascii="方正黑体简体" w:hAnsi="方正黑体简体" w:eastAsia="方正黑体简体" w:cs="方正黑体简体"/>
          <w:b/>
          <w:sz w:val="18"/>
          <w:szCs w:val="18"/>
          <w:lang w:eastAsia="zh-CN"/>
        </w:rPr>
        <w:t>.</w:t>
      </w:r>
      <w:r>
        <w:rPr>
          <w:rFonts w:hint="eastAsia" w:ascii="方正黑体简体" w:hAnsi="方正黑体简体" w:eastAsia="方正黑体简体" w:cs="方正黑体简体"/>
          <w:b/>
          <w:sz w:val="18"/>
          <w:szCs w:val="18"/>
          <w:lang w:val="en-US" w:eastAsia="zh-CN"/>
        </w:rPr>
        <w:t>附件</w:t>
      </w:r>
      <w:r>
        <w:rPr>
          <w:b/>
          <w:sz w:val="18"/>
          <w:szCs w:val="18"/>
        </w:rPr>
        <w:tab/>
      </w:r>
      <w:r>
        <w:rPr>
          <w:b/>
          <w:sz w:val="18"/>
          <w:szCs w:val="18"/>
        </w:rPr>
        <w:fldChar w:fldCharType="begin"/>
      </w:r>
      <w:r>
        <w:rPr>
          <w:b/>
          <w:sz w:val="18"/>
          <w:szCs w:val="18"/>
        </w:rPr>
        <w:instrText xml:space="preserve"> PAGEREF _Toc20858 \h </w:instrText>
      </w:r>
      <w:r>
        <w:rPr>
          <w:b/>
          <w:sz w:val="18"/>
          <w:szCs w:val="18"/>
        </w:rPr>
        <w:fldChar w:fldCharType="separate"/>
      </w:r>
      <w:r>
        <w:rPr>
          <w:b/>
          <w:sz w:val="18"/>
          <w:szCs w:val="18"/>
        </w:rPr>
        <w:t>26</w:t>
      </w:r>
      <w:r>
        <w:rPr>
          <w:b/>
          <w:sz w:val="18"/>
          <w:szCs w:val="18"/>
        </w:rPr>
        <w:fldChar w:fldCharType="end"/>
      </w:r>
      <w:r>
        <w:rPr>
          <w:rFonts w:hint="eastAsia" w:ascii="仿宋_GB2312" w:hAnsi="仿宋_GB2312" w:eastAsia="仿宋_GB2312" w:cs="仿宋_GB2312"/>
          <w:b/>
          <w:sz w:val="18"/>
          <w:szCs w:val="18"/>
          <w:lang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lef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b/>
          <w:sz w:val="28"/>
          <w:szCs w:val="22"/>
          <w:lang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left"/>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left"/>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left"/>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left"/>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left"/>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left"/>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left"/>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left"/>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left"/>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left"/>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left"/>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left"/>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left"/>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left"/>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left"/>
        <w:textAlignment w:val="auto"/>
        <w:outlineLvl w:val="9"/>
        <w:rPr>
          <w:rFonts w:hint="eastAsia" w:ascii="仿宋_GB2312" w:hAnsi="仿宋_GB2312" w:eastAsia="仿宋_GB2312" w:cs="仿宋_GB2312"/>
          <w:lang w:eastAsia="zh-CN"/>
        </w:rPr>
      </w:pPr>
    </w:p>
    <w:p>
      <w:pPr>
        <w:pStyle w:val="2"/>
        <w:rPr>
          <w:rFonts w:hint="eastAsia" w:ascii="仿宋_GB2312" w:hAnsi="仿宋_GB2312" w:eastAsia="仿宋_GB2312" w:cs="仿宋_GB2312"/>
          <w:lang w:eastAsia="zh-CN"/>
        </w:rPr>
      </w:pPr>
    </w:p>
    <w:p>
      <w:pPr>
        <w:rPr>
          <w:rFonts w:hint="eastAsia" w:ascii="仿宋_GB2312" w:hAnsi="仿宋_GB2312" w:eastAsia="仿宋_GB2312" w:cs="仿宋_GB2312"/>
          <w:lang w:eastAsia="zh-CN"/>
        </w:rPr>
      </w:pPr>
    </w:p>
    <w:p>
      <w:pPr>
        <w:pStyle w:val="2"/>
        <w:rPr>
          <w:rFonts w:hint="eastAsia" w:ascii="仿宋_GB2312" w:hAnsi="仿宋_GB2312" w:eastAsia="仿宋_GB2312" w:cs="仿宋_GB2312"/>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left"/>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方正黑体简体" w:hAnsi="方正黑体简体" w:eastAsia="方正黑体简体" w:cs="方正黑体简体"/>
          <w:sz w:val="32"/>
          <w:szCs w:val="32"/>
          <w:lang w:eastAsia="zh-CN"/>
        </w:rPr>
      </w:pPr>
      <w:bookmarkStart w:id="90" w:name="_Toc31151"/>
      <w:r>
        <w:rPr>
          <w:rFonts w:hint="eastAsia" w:ascii="方正黑体简体" w:hAnsi="方正黑体简体" w:eastAsia="方正黑体简体" w:cs="方正黑体简体"/>
          <w:sz w:val="32"/>
          <w:szCs w:val="32"/>
          <w:lang w:eastAsia="zh-CN"/>
        </w:rPr>
        <w:t>1. 总则</w:t>
      </w:r>
      <w:bookmarkEnd w:id="9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91" w:name="_Toc17899"/>
      <w:r>
        <w:rPr>
          <w:rFonts w:hint="eastAsia" w:ascii="楷体_GB2312" w:hAnsi="楷体_GB2312" w:eastAsia="楷体_GB2312" w:cs="楷体_GB2312"/>
          <w:sz w:val="32"/>
          <w:szCs w:val="32"/>
          <w:lang w:eastAsia="zh-CN"/>
        </w:rPr>
        <w:t>1.1编制目的</w:t>
      </w:r>
      <w:bookmarkEnd w:id="9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为进一步提高烟花爆竹生产安全事故的应对能力，规范事故应急处置和响应程序，最大限度地减少烟花爆竹事故造成的危害，维护社会稳定，特制定本预案。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92" w:name="_Toc11148"/>
      <w:r>
        <w:rPr>
          <w:rFonts w:hint="eastAsia" w:ascii="楷体_GB2312" w:hAnsi="楷体_GB2312" w:eastAsia="楷体_GB2312" w:cs="楷体_GB2312"/>
          <w:sz w:val="32"/>
          <w:szCs w:val="32"/>
          <w:lang w:eastAsia="zh-CN"/>
        </w:rPr>
        <w:t>1.2 编制依据</w:t>
      </w:r>
      <w:bookmarkEnd w:id="92"/>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16"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pacing w:val="-6"/>
          <w:sz w:val="32"/>
          <w:szCs w:val="32"/>
          <w:lang w:val="en-US" w:eastAsia="zh-CN"/>
        </w:rPr>
        <w:t>（1）《中华人民共和国突发事件应对法》（2007年8月30日第十届全国人民代表大会常务委员会第二十九次会议通过）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pacing w:val="-6"/>
          <w:sz w:val="32"/>
          <w:szCs w:val="32"/>
          <w:lang w:val="en-US" w:eastAsia="zh-CN"/>
        </w:rPr>
        <w:t>（</w:t>
      </w:r>
      <w:r>
        <w:rPr>
          <w:rFonts w:hint="eastAsia" w:cs="仿宋_GB2312"/>
          <w:color w:val="auto"/>
          <w:spacing w:val="-6"/>
          <w:sz w:val="32"/>
          <w:szCs w:val="32"/>
          <w:lang w:val="en-US" w:eastAsia="zh-CN"/>
        </w:rPr>
        <w:t>2）</w:t>
      </w:r>
      <w:r>
        <w:rPr>
          <w:rFonts w:hint="eastAsia" w:ascii="仿宋_GB2312" w:hAnsi="仿宋_GB2312" w:eastAsia="仿宋_GB2312" w:cs="仿宋_GB2312"/>
          <w:sz w:val="32"/>
          <w:szCs w:val="32"/>
          <w:lang w:eastAsia="zh-CN"/>
        </w:rPr>
        <w:t>《中华人民共和国安全生产法》</w:t>
      </w:r>
      <w:r>
        <w:rPr>
          <w:rFonts w:hint="eastAsia" w:ascii="仿宋_GB2312" w:hAnsi="仿宋_GB2312" w:eastAsia="仿宋_GB2312" w:cs="仿宋_GB2312"/>
          <w:color w:val="auto"/>
          <w:spacing w:val="-6"/>
          <w:sz w:val="32"/>
          <w:szCs w:val="32"/>
          <w:lang w:val="en-US" w:eastAsia="zh-CN"/>
        </w:rPr>
        <w:t>（2021年6月10日第十三届全国人民代表大会常务委员会第二十九次会议于通过）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pacing w:val="-6"/>
          <w:sz w:val="32"/>
          <w:szCs w:val="32"/>
          <w:lang w:val="en-US" w:eastAsia="zh-CN"/>
        </w:rPr>
      </w:pPr>
      <w:r>
        <w:rPr>
          <w:rFonts w:hint="eastAsia" w:cs="仿宋_GB2312"/>
          <w:sz w:val="32"/>
          <w:szCs w:val="32"/>
          <w:lang w:eastAsia="zh-CN"/>
        </w:rPr>
        <w:t>（</w:t>
      </w:r>
      <w:r>
        <w:rPr>
          <w:rFonts w:hint="eastAsia" w:cs="仿宋_GB2312"/>
          <w:sz w:val="32"/>
          <w:szCs w:val="32"/>
          <w:lang w:val="en-US" w:eastAsia="zh-CN"/>
        </w:rPr>
        <w:t>3</w:t>
      </w:r>
      <w:r>
        <w:rPr>
          <w:rFonts w:hint="eastAsia" w:cs="仿宋_GB2312"/>
          <w:sz w:val="32"/>
          <w:szCs w:val="32"/>
          <w:lang w:eastAsia="zh-CN"/>
        </w:rPr>
        <w:t>）</w:t>
      </w:r>
      <w:r>
        <w:rPr>
          <w:rFonts w:hint="eastAsia" w:ascii="仿宋_GB2312" w:hAnsi="仿宋_GB2312" w:eastAsia="仿宋_GB2312" w:cs="仿宋_GB2312"/>
          <w:sz w:val="32"/>
          <w:szCs w:val="32"/>
          <w:lang w:eastAsia="zh-CN"/>
        </w:rPr>
        <w:t>《中华人民共和国消防法》</w:t>
      </w:r>
      <w:r>
        <w:rPr>
          <w:rFonts w:hint="eastAsia" w:ascii="仿宋_GB2312" w:hAnsi="仿宋_GB2312" w:eastAsia="仿宋_GB2312" w:cs="仿宋_GB2312"/>
          <w:color w:val="auto"/>
          <w:spacing w:val="-6"/>
          <w:sz w:val="32"/>
          <w:szCs w:val="32"/>
          <w:lang w:val="en-US" w:eastAsia="zh-CN"/>
        </w:rPr>
        <w:t>（2021年4月29日第十三届全国人民代表大会常务委员会第二十八次会议</w:t>
      </w:r>
      <w:r>
        <w:rPr>
          <w:rFonts w:hint="eastAsia" w:cs="仿宋_GB2312"/>
          <w:color w:val="auto"/>
          <w:spacing w:val="-6"/>
          <w:sz w:val="32"/>
          <w:szCs w:val="32"/>
          <w:lang w:val="en-US" w:eastAsia="zh-CN"/>
        </w:rPr>
        <w:t>第二次修正</w:t>
      </w:r>
      <w:r>
        <w:rPr>
          <w:rFonts w:hint="eastAsia" w:ascii="仿宋_GB2312" w:hAnsi="仿宋_GB2312" w:eastAsia="仿宋_GB2312" w:cs="仿宋_GB2312"/>
          <w:color w:val="auto"/>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cs="仿宋_GB2312"/>
          <w:sz w:val="32"/>
          <w:szCs w:val="32"/>
          <w:lang w:eastAsia="zh-CN"/>
        </w:rPr>
        <w:t>（</w:t>
      </w:r>
      <w:r>
        <w:rPr>
          <w:rFonts w:hint="eastAsia" w:cs="仿宋_GB2312"/>
          <w:sz w:val="32"/>
          <w:szCs w:val="32"/>
          <w:lang w:val="en-US" w:eastAsia="zh-CN"/>
        </w:rPr>
        <w:t>4</w:t>
      </w:r>
      <w:r>
        <w:rPr>
          <w:rFonts w:hint="eastAsia" w:cs="仿宋_GB2312"/>
          <w:sz w:val="32"/>
          <w:szCs w:val="32"/>
          <w:lang w:eastAsia="zh-CN"/>
        </w:rPr>
        <w:t>）</w:t>
      </w:r>
      <w:r>
        <w:rPr>
          <w:rFonts w:hint="eastAsia" w:ascii="仿宋_GB2312" w:hAnsi="仿宋_GB2312" w:eastAsia="仿宋_GB2312" w:cs="仿宋_GB2312"/>
          <w:sz w:val="32"/>
          <w:szCs w:val="32"/>
          <w:lang w:eastAsia="zh-CN"/>
        </w:rPr>
        <w:t>《生产安全事</w:t>
      </w:r>
      <w:r>
        <w:rPr>
          <w:rFonts w:hint="eastAsia" w:ascii="仿宋_GB2312" w:hAnsi="仿宋_GB2312" w:eastAsia="仿宋_GB2312" w:cs="仿宋_GB2312"/>
          <w:color w:val="auto"/>
          <w:spacing w:val="-6"/>
          <w:sz w:val="32"/>
          <w:szCs w:val="32"/>
          <w:lang w:val="en-US" w:eastAsia="zh-CN"/>
        </w:rPr>
        <w:t>故报告和调查处理条例》（国务院令第493号予以公布，自2007年6月1日起施行</w:t>
      </w:r>
      <w:r>
        <w:rPr>
          <w:rFonts w:hint="eastAsia" w:cs="仿宋_GB2312"/>
          <w:color w:val="auto"/>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cs="仿宋_GB2312"/>
          <w:sz w:val="32"/>
          <w:szCs w:val="32"/>
          <w:lang w:eastAsia="zh-CN"/>
        </w:rPr>
        <w:t>（</w:t>
      </w:r>
      <w:r>
        <w:rPr>
          <w:rFonts w:hint="eastAsia" w:cs="仿宋_GB2312"/>
          <w:sz w:val="32"/>
          <w:szCs w:val="32"/>
          <w:lang w:val="en-US" w:eastAsia="zh-CN"/>
        </w:rPr>
        <w:t>5</w:t>
      </w:r>
      <w:r>
        <w:rPr>
          <w:rFonts w:hint="eastAsia" w:cs="仿宋_GB2312"/>
          <w:sz w:val="32"/>
          <w:szCs w:val="32"/>
          <w:lang w:eastAsia="zh-CN"/>
        </w:rPr>
        <w:t>）</w:t>
      </w:r>
      <w:r>
        <w:rPr>
          <w:rFonts w:hint="eastAsia" w:ascii="仿宋_GB2312" w:hAnsi="仿宋_GB2312" w:eastAsia="仿宋_GB2312" w:cs="仿宋_GB2312"/>
          <w:sz w:val="32"/>
          <w:szCs w:val="32"/>
          <w:lang w:eastAsia="zh-CN"/>
        </w:rPr>
        <w:t>《烟花爆竹安全管理条例》</w:t>
      </w:r>
      <w:r>
        <w:rPr>
          <w:rFonts w:hint="eastAsia" w:cs="仿宋_GB2312"/>
          <w:sz w:val="32"/>
          <w:szCs w:val="32"/>
          <w:lang w:eastAsia="zh-CN"/>
        </w:rPr>
        <w:t>（国务院令第455号）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cs="仿宋_GB2312"/>
          <w:sz w:val="32"/>
          <w:szCs w:val="32"/>
          <w:lang w:eastAsia="zh-CN"/>
        </w:rPr>
        <w:t>（</w:t>
      </w:r>
      <w:r>
        <w:rPr>
          <w:rFonts w:hint="eastAsia" w:cs="仿宋_GB2312"/>
          <w:sz w:val="32"/>
          <w:szCs w:val="32"/>
          <w:lang w:val="en-US" w:eastAsia="zh-CN"/>
        </w:rPr>
        <w:t>6</w:t>
      </w:r>
      <w:r>
        <w:rPr>
          <w:rFonts w:hint="eastAsia" w:cs="仿宋_GB2312"/>
          <w:sz w:val="32"/>
          <w:szCs w:val="32"/>
          <w:lang w:eastAsia="zh-CN"/>
        </w:rPr>
        <w:t>）</w:t>
      </w:r>
      <w:r>
        <w:rPr>
          <w:rFonts w:hint="eastAsia" w:ascii="仿宋_GB2312" w:hAnsi="仿宋_GB2312" w:eastAsia="仿宋_GB2312" w:cs="仿宋_GB2312"/>
          <w:sz w:val="32"/>
          <w:szCs w:val="32"/>
          <w:lang w:eastAsia="zh-CN"/>
        </w:rPr>
        <w:t>《生产安全事故应急预案管理办法》</w:t>
      </w:r>
      <w:r>
        <w:rPr>
          <w:rFonts w:hint="eastAsia" w:cs="仿宋_GB2312"/>
          <w:sz w:val="32"/>
          <w:szCs w:val="32"/>
          <w:lang w:eastAsia="zh-CN"/>
        </w:rPr>
        <w:t>（</w:t>
      </w:r>
      <w:r>
        <w:rPr>
          <w:rFonts w:hint="eastAsia" w:cs="仿宋_GB2312"/>
          <w:sz w:val="32"/>
          <w:szCs w:val="32"/>
          <w:lang w:val="en-US" w:eastAsia="zh-CN"/>
        </w:rPr>
        <w:t>原</w:t>
      </w:r>
      <w:r>
        <w:rPr>
          <w:rFonts w:hint="eastAsia" w:cs="仿宋_GB2312"/>
          <w:sz w:val="32"/>
          <w:szCs w:val="32"/>
          <w:lang w:eastAsia="zh-CN"/>
        </w:rPr>
        <w:t>国家安全生产监督管理总局令第17号）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cs="仿宋_GB2312"/>
          <w:sz w:val="32"/>
          <w:szCs w:val="32"/>
          <w:lang w:eastAsia="zh-CN"/>
        </w:rPr>
      </w:pPr>
      <w:r>
        <w:rPr>
          <w:rFonts w:hint="eastAsia" w:cs="仿宋_GB2312"/>
          <w:sz w:val="32"/>
          <w:szCs w:val="32"/>
          <w:lang w:eastAsia="zh-CN"/>
        </w:rPr>
        <w:t>（</w:t>
      </w:r>
      <w:r>
        <w:rPr>
          <w:rFonts w:hint="eastAsia" w:cs="仿宋_GB2312"/>
          <w:sz w:val="32"/>
          <w:szCs w:val="32"/>
          <w:lang w:val="en-US" w:eastAsia="zh-CN"/>
        </w:rPr>
        <w:t>7</w:t>
      </w:r>
      <w:r>
        <w:rPr>
          <w:rFonts w:hint="eastAsia" w:cs="仿宋_GB2312"/>
          <w:sz w:val="32"/>
          <w:szCs w:val="32"/>
          <w:lang w:eastAsia="zh-CN"/>
        </w:rPr>
        <w:t>）</w:t>
      </w:r>
      <w:r>
        <w:rPr>
          <w:rFonts w:hint="eastAsia" w:ascii="仿宋_GB2312" w:hAnsi="仿宋_GB2312" w:eastAsia="仿宋_GB2312" w:cs="仿宋_GB2312"/>
          <w:sz w:val="32"/>
          <w:szCs w:val="32"/>
          <w:lang w:eastAsia="zh-CN"/>
        </w:rPr>
        <w:t>《生产安全事故信息报告和处置办法》</w:t>
      </w:r>
      <w:r>
        <w:rPr>
          <w:rFonts w:hint="eastAsia" w:cs="仿宋_GB2312"/>
          <w:sz w:val="32"/>
          <w:szCs w:val="32"/>
          <w:lang w:eastAsia="zh-CN"/>
        </w:rPr>
        <w:t>（</w:t>
      </w:r>
      <w:r>
        <w:rPr>
          <w:rFonts w:hint="eastAsia" w:cs="仿宋_GB2312"/>
          <w:sz w:val="32"/>
          <w:szCs w:val="32"/>
          <w:lang w:val="en-US" w:eastAsia="zh-CN"/>
        </w:rPr>
        <w:t>原</w:t>
      </w:r>
      <w:r>
        <w:rPr>
          <w:rFonts w:hint="eastAsia" w:cs="仿宋_GB2312"/>
          <w:sz w:val="32"/>
          <w:szCs w:val="32"/>
          <w:lang w:eastAsia="zh-CN"/>
        </w:rPr>
        <w:t>国家安全生产监督管理总局令第 21 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cs="仿宋_GB2312"/>
          <w:sz w:val="32"/>
          <w:szCs w:val="32"/>
          <w:lang w:eastAsia="zh-CN"/>
        </w:rPr>
        <w:t>（</w:t>
      </w:r>
      <w:r>
        <w:rPr>
          <w:rFonts w:hint="eastAsia" w:cs="仿宋_GB2312"/>
          <w:sz w:val="32"/>
          <w:szCs w:val="32"/>
          <w:lang w:val="en-US" w:eastAsia="zh-CN"/>
        </w:rPr>
        <w:t>8</w:t>
      </w:r>
      <w:r>
        <w:rPr>
          <w:rFonts w:hint="eastAsia" w:cs="仿宋_GB2312"/>
          <w:sz w:val="32"/>
          <w:szCs w:val="32"/>
          <w:lang w:eastAsia="zh-CN"/>
        </w:rPr>
        <w:t>）</w:t>
      </w:r>
      <w:r>
        <w:rPr>
          <w:rFonts w:hint="eastAsia" w:ascii="仿宋_GB2312" w:hAnsi="仿宋_GB2312" w:eastAsia="仿宋_GB2312" w:cs="仿宋_GB2312"/>
          <w:sz w:val="32"/>
          <w:szCs w:val="32"/>
          <w:lang w:eastAsia="zh-CN"/>
        </w:rPr>
        <w:t>《生产安全事故应急条例》</w:t>
      </w:r>
      <w:r>
        <w:rPr>
          <w:rFonts w:hint="eastAsia" w:ascii="仿宋_GB2312" w:hAnsi="仿宋_GB2312" w:eastAsia="仿宋_GB2312" w:cs="仿宋_GB2312"/>
          <w:color w:val="auto"/>
          <w:spacing w:val="-6"/>
          <w:sz w:val="32"/>
          <w:szCs w:val="32"/>
          <w:lang w:val="zh-CN" w:eastAsia="zh-CN"/>
        </w:rPr>
        <w:t>（中华人民共和国国务院令第708号）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cs="仿宋_GB2312"/>
          <w:sz w:val="32"/>
          <w:szCs w:val="32"/>
          <w:lang w:eastAsia="zh-CN"/>
        </w:rPr>
      </w:pPr>
      <w:r>
        <w:rPr>
          <w:rFonts w:hint="eastAsia" w:cs="仿宋_GB2312"/>
          <w:sz w:val="32"/>
          <w:szCs w:val="32"/>
          <w:lang w:eastAsia="zh-CN"/>
        </w:rPr>
        <w:t>（</w:t>
      </w:r>
      <w:r>
        <w:rPr>
          <w:rFonts w:hint="eastAsia" w:cs="仿宋_GB2312"/>
          <w:sz w:val="32"/>
          <w:szCs w:val="32"/>
          <w:lang w:val="en-US" w:eastAsia="zh-CN"/>
        </w:rPr>
        <w:t>9</w:t>
      </w:r>
      <w:r>
        <w:rPr>
          <w:rFonts w:hint="eastAsia" w:cs="仿宋_GB2312"/>
          <w:sz w:val="32"/>
          <w:szCs w:val="32"/>
          <w:lang w:eastAsia="zh-CN"/>
        </w:rPr>
        <w:t>）</w:t>
      </w:r>
      <w:r>
        <w:rPr>
          <w:rFonts w:hint="eastAsia" w:ascii="仿宋_GB2312" w:hAnsi="仿宋_GB2312" w:eastAsia="仿宋_GB2312" w:cs="仿宋_GB2312"/>
          <w:sz w:val="32"/>
          <w:szCs w:val="32"/>
          <w:lang w:eastAsia="zh-CN"/>
        </w:rPr>
        <w:t>《安全监管部门应急预案框架指南》</w:t>
      </w:r>
      <w:r>
        <w:rPr>
          <w:rFonts w:hint="eastAsia" w:cs="仿宋_GB2312"/>
          <w:sz w:val="32"/>
          <w:szCs w:val="32"/>
          <w:lang w:eastAsia="zh-CN"/>
        </w:rPr>
        <w:t>（</w:t>
      </w:r>
      <w:r>
        <w:rPr>
          <w:rFonts w:ascii="仿宋_GB2312" w:hAnsi="宋体" w:eastAsia="仿宋_GB2312" w:cs="仿宋_GB2312"/>
          <w:i w:val="0"/>
          <w:iCs w:val="0"/>
          <w:caps w:val="0"/>
          <w:color w:val="525353"/>
          <w:spacing w:val="0"/>
          <w:sz w:val="32"/>
          <w:szCs w:val="32"/>
          <w:shd w:val="clear" w:color="auto" w:fill="FFFFFF"/>
        </w:rPr>
        <w:t>安监总厅应急</w:t>
      </w:r>
      <w:r>
        <w:rPr>
          <w:rFonts w:hint="default" w:ascii="仿宋_GB2312" w:hAnsi="宋体" w:eastAsia="仿宋_GB2312" w:cs="仿宋_GB2312"/>
          <w:i w:val="0"/>
          <w:iCs w:val="0"/>
          <w:caps w:val="0"/>
          <w:color w:val="525353"/>
          <w:spacing w:val="0"/>
          <w:sz w:val="32"/>
          <w:szCs w:val="32"/>
          <w:shd w:val="clear" w:color="auto" w:fill="FFFFFF"/>
        </w:rPr>
        <w:t>[2011]222号</w:t>
      </w:r>
      <w:r>
        <w:rPr>
          <w:rFonts w:hint="eastAsia"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cs="仿宋_GB2312"/>
          <w:sz w:val="32"/>
          <w:szCs w:val="32"/>
          <w:lang w:eastAsia="zh-CN"/>
        </w:rPr>
      </w:pPr>
      <w:r>
        <w:rPr>
          <w:rFonts w:hint="eastAsia" w:cs="仿宋_GB2312"/>
          <w:sz w:val="32"/>
          <w:szCs w:val="32"/>
          <w:lang w:eastAsia="zh-CN"/>
        </w:rPr>
        <w:t>（</w:t>
      </w:r>
      <w:r>
        <w:rPr>
          <w:rFonts w:hint="eastAsia" w:cs="仿宋_GB2312"/>
          <w:sz w:val="32"/>
          <w:szCs w:val="32"/>
          <w:lang w:val="en-US" w:eastAsia="zh-CN"/>
        </w:rPr>
        <w:t>10</w:t>
      </w:r>
      <w:r>
        <w:rPr>
          <w:rFonts w:hint="eastAsia" w:cs="仿宋_GB2312"/>
          <w:sz w:val="32"/>
          <w:szCs w:val="32"/>
          <w:lang w:eastAsia="zh-CN"/>
        </w:rPr>
        <w:t>）</w:t>
      </w:r>
      <w:r>
        <w:rPr>
          <w:rFonts w:hint="eastAsia" w:ascii="仿宋_GB2312" w:hAnsi="仿宋_GB2312" w:eastAsia="仿宋_GB2312" w:cs="仿宋_GB2312"/>
          <w:sz w:val="32"/>
          <w:szCs w:val="32"/>
          <w:lang w:val="en-US" w:eastAsia="zh-CN"/>
        </w:rPr>
        <w:t>《福建省安全生产条例》</w:t>
      </w:r>
      <w:r>
        <w:rPr>
          <w:rFonts w:hint="eastAsia" w:cs="仿宋_GB2312"/>
          <w:sz w:val="32"/>
          <w:szCs w:val="32"/>
          <w:lang w:eastAsia="zh-CN"/>
        </w:rPr>
        <w:t>（2016年12月2日福建省第十二届人民代表大会常务委员会第二十六次会议通过）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cs="仿宋_GB2312"/>
          <w:sz w:val="32"/>
          <w:szCs w:val="32"/>
          <w:lang w:eastAsia="zh-CN"/>
        </w:rPr>
        <w:t>（</w:t>
      </w:r>
      <w:r>
        <w:rPr>
          <w:rFonts w:hint="eastAsia" w:cs="仿宋_GB2312"/>
          <w:sz w:val="32"/>
          <w:szCs w:val="32"/>
          <w:lang w:val="en-US" w:eastAsia="zh-CN"/>
        </w:rPr>
        <w:t>11</w:t>
      </w:r>
      <w:r>
        <w:rPr>
          <w:rFonts w:hint="eastAsia" w:cs="仿宋_GB2312"/>
          <w:sz w:val="32"/>
          <w:szCs w:val="32"/>
          <w:lang w:eastAsia="zh-CN"/>
        </w:rPr>
        <w:t>）</w:t>
      </w:r>
      <w:r>
        <w:rPr>
          <w:rFonts w:hint="eastAsia" w:ascii="仿宋_GB2312" w:hAnsi="仿宋_GB2312" w:eastAsia="仿宋_GB2312" w:cs="仿宋_GB2312"/>
          <w:sz w:val="32"/>
          <w:szCs w:val="32"/>
          <w:lang w:val="en-US" w:eastAsia="zh-CN"/>
        </w:rPr>
        <w:t>《福建省突发事件应对办法》</w:t>
      </w:r>
      <w:r>
        <w:rPr>
          <w:rFonts w:hint="eastAsia" w:cs="仿宋_GB2312"/>
          <w:sz w:val="32"/>
          <w:szCs w:val="32"/>
          <w:lang w:val="en-US" w:eastAsia="zh-CN"/>
        </w:rPr>
        <w:t>（2018年1月23日省人民政府第121次常务会议通过）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cs="仿宋_GB2312"/>
          <w:sz w:val="32"/>
          <w:szCs w:val="32"/>
          <w:lang w:eastAsia="zh-CN"/>
        </w:rPr>
        <w:t>（</w:t>
      </w:r>
      <w:r>
        <w:rPr>
          <w:rFonts w:hint="eastAsia" w:cs="仿宋_GB2312"/>
          <w:sz w:val="32"/>
          <w:szCs w:val="32"/>
          <w:lang w:val="en-US" w:eastAsia="zh-CN"/>
        </w:rPr>
        <w:t>12</w:t>
      </w:r>
      <w:r>
        <w:rPr>
          <w:rFonts w:hint="eastAsia" w:cs="仿宋_GB2312"/>
          <w:sz w:val="32"/>
          <w:szCs w:val="32"/>
          <w:lang w:eastAsia="zh-CN"/>
        </w:rPr>
        <w:t>）</w:t>
      </w:r>
      <w:r>
        <w:rPr>
          <w:rFonts w:hint="eastAsia" w:ascii="仿宋_GB2312" w:hAnsi="仿宋_GB2312" w:eastAsia="仿宋_GB2312" w:cs="仿宋_GB2312"/>
          <w:sz w:val="32"/>
          <w:szCs w:val="32"/>
          <w:lang w:val="en-US" w:eastAsia="zh-CN"/>
        </w:rPr>
        <w:t>《福建省生产安全事故灾难应急预案》</w:t>
      </w:r>
      <w:r>
        <w:rPr>
          <w:rFonts w:hint="eastAsia" w:cs="仿宋_GB2312"/>
          <w:sz w:val="32"/>
          <w:szCs w:val="32"/>
          <w:lang w:val="en-US" w:eastAsia="zh-CN"/>
        </w:rPr>
        <w:t>（闽政办〔2015〕132号）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cs="仿宋_GB2312"/>
          <w:sz w:val="32"/>
          <w:szCs w:val="32"/>
          <w:lang w:val="en-US" w:eastAsia="zh-CN"/>
        </w:rPr>
      </w:pPr>
      <w:r>
        <w:rPr>
          <w:rFonts w:hint="eastAsia" w:cs="仿宋_GB2312"/>
          <w:sz w:val="32"/>
          <w:szCs w:val="32"/>
          <w:lang w:eastAsia="zh-CN"/>
        </w:rPr>
        <w:t>（</w:t>
      </w:r>
      <w:r>
        <w:rPr>
          <w:rFonts w:hint="eastAsia" w:cs="仿宋_GB2312"/>
          <w:sz w:val="32"/>
          <w:szCs w:val="32"/>
          <w:lang w:val="en-US" w:eastAsia="zh-CN"/>
        </w:rPr>
        <w:t>13</w:t>
      </w:r>
      <w:r>
        <w:rPr>
          <w:rFonts w:hint="eastAsia"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福州市</w:t>
      </w:r>
      <w:r>
        <w:rPr>
          <w:rFonts w:hint="eastAsia" w:ascii="仿宋_GB2312" w:hAnsi="仿宋_GB2312" w:eastAsia="仿宋_GB2312" w:cs="仿宋_GB2312"/>
          <w:sz w:val="32"/>
          <w:szCs w:val="32"/>
          <w:lang w:val="en-US" w:eastAsia="zh-CN"/>
        </w:rPr>
        <w:t>生产安全事故灾难应急预案》</w:t>
      </w:r>
      <w:r>
        <w:rPr>
          <w:rFonts w:hint="eastAsia" w:cs="仿宋_GB2312"/>
          <w:sz w:val="32"/>
          <w:szCs w:val="32"/>
          <w:lang w:val="en-US" w:eastAsia="zh-CN"/>
        </w:rPr>
        <w:t>（榕政办〔2022〕89号）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cs="仿宋_GB2312"/>
          <w:sz w:val="32"/>
          <w:szCs w:val="32"/>
          <w:lang w:eastAsia="zh-CN"/>
        </w:rPr>
      </w:pPr>
      <w:r>
        <w:rPr>
          <w:rFonts w:hint="eastAsia" w:cs="仿宋_GB2312"/>
          <w:sz w:val="32"/>
          <w:szCs w:val="32"/>
          <w:lang w:eastAsia="zh-CN"/>
        </w:rPr>
        <w:t>（</w:t>
      </w:r>
      <w:r>
        <w:rPr>
          <w:rFonts w:hint="eastAsia" w:cs="仿宋_GB2312"/>
          <w:sz w:val="32"/>
          <w:szCs w:val="32"/>
          <w:lang w:val="en-US" w:eastAsia="zh-CN"/>
        </w:rPr>
        <w:t>14</w:t>
      </w:r>
      <w:r>
        <w:rPr>
          <w:rFonts w:hint="eastAsia"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福州市烟花爆竹销售和燃放管理办法》</w:t>
      </w:r>
      <w:r>
        <w:rPr>
          <w:rFonts w:hint="eastAsia" w:cs="仿宋_GB2312"/>
          <w:sz w:val="32"/>
          <w:szCs w:val="32"/>
          <w:lang w:eastAsia="zh-CN"/>
        </w:rPr>
        <w:t>（2019年6月27日福州市第十五届人民代表大会 常务委员会第二十次会议通过，2019年9月26日福建省第十三届人民代表大会 常务委员会第十二次会议批准）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cs="仿宋_GB2312"/>
          <w:sz w:val="32"/>
          <w:szCs w:val="32"/>
          <w:lang w:eastAsia="zh-CN"/>
        </w:rPr>
        <w:t>（</w:t>
      </w:r>
      <w:r>
        <w:rPr>
          <w:rFonts w:hint="eastAsia" w:cs="仿宋_GB2312"/>
          <w:sz w:val="32"/>
          <w:szCs w:val="32"/>
          <w:lang w:val="en-US" w:eastAsia="zh-CN"/>
        </w:rPr>
        <w:t>15</w:t>
      </w:r>
      <w:r>
        <w:rPr>
          <w:rFonts w:hint="eastAsia" w:cs="仿宋_GB2312"/>
          <w:sz w:val="32"/>
          <w:szCs w:val="32"/>
          <w:lang w:eastAsia="zh-CN"/>
        </w:rPr>
        <w:t>）</w:t>
      </w:r>
      <w:r>
        <w:rPr>
          <w:rFonts w:hint="eastAsia" w:ascii="仿宋_GB2312" w:hAnsi="仿宋_GB2312" w:eastAsia="仿宋_GB2312" w:cs="仿宋_GB2312"/>
          <w:sz w:val="32"/>
          <w:szCs w:val="32"/>
          <w:lang w:eastAsia="zh-CN"/>
        </w:rPr>
        <w:t>《</w:t>
      </w:r>
      <w:r>
        <w:rPr>
          <w:rFonts w:hint="eastAsia" w:cs="仿宋_GB2312"/>
          <w:sz w:val="32"/>
          <w:szCs w:val="32"/>
          <w:lang w:val="en-US" w:eastAsia="zh-CN"/>
        </w:rPr>
        <w:t>永泰县</w:t>
      </w:r>
      <w:r>
        <w:rPr>
          <w:rFonts w:hint="eastAsia" w:ascii="仿宋_GB2312" w:hAnsi="仿宋_GB2312" w:eastAsia="仿宋_GB2312" w:cs="仿宋_GB2312"/>
          <w:sz w:val="32"/>
          <w:szCs w:val="32"/>
          <w:lang w:eastAsia="zh-CN"/>
        </w:rPr>
        <w:t>突发事件总体应急预案》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cs="仿宋_GB2312"/>
          <w:sz w:val="32"/>
          <w:szCs w:val="32"/>
          <w:lang w:eastAsia="zh-CN"/>
        </w:rPr>
        <w:t>（</w:t>
      </w:r>
      <w:r>
        <w:rPr>
          <w:rFonts w:hint="eastAsia" w:cs="仿宋_GB2312"/>
          <w:sz w:val="32"/>
          <w:szCs w:val="32"/>
          <w:lang w:val="en-US" w:eastAsia="zh-CN"/>
        </w:rPr>
        <w:t>16</w:t>
      </w:r>
      <w:r>
        <w:rPr>
          <w:rFonts w:hint="eastAsia" w:cs="仿宋_GB2312"/>
          <w:sz w:val="32"/>
          <w:szCs w:val="32"/>
          <w:lang w:eastAsia="zh-CN"/>
        </w:rPr>
        <w:t>）</w:t>
      </w:r>
      <w:r>
        <w:rPr>
          <w:rFonts w:hint="eastAsia" w:ascii="仿宋_GB2312" w:hAnsi="仿宋_GB2312" w:eastAsia="仿宋_GB2312" w:cs="仿宋_GB2312"/>
          <w:sz w:val="32"/>
          <w:szCs w:val="32"/>
          <w:lang w:eastAsia="zh-CN"/>
        </w:rPr>
        <w:t>《永泰县生产安全事故应急预案》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16" w:firstLineChars="200"/>
        <w:jc w:val="both"/>
        <w:textAlignment w:val="auto"/>
        <w:outlineLvl w:val="9"/>
        <w:rPr>
          <w:rFonts w:hint="eastAsia"/>
          <w:sz w:val="32"/>
          <w:szCs w:val="32"/>
          <w:lang w:eastAsia="zh-CN"/>
        </w:rPr>
      </w:pPr>
      <w:r>
        <w:rPr>
          <w:rFonts w:hint="eastAsia" w:ascii="仿宋_GB2312" w:hAnsi="仿宋_GB2312" w:eastAsia="仿宋_GB2312" w:cs="仿宋_GB2312"/>
          <w:color w:val="auto"/>
          <w:spacing w:val="-6"/>
          <w:kern w:val="0"/>
          <w:sz w:val="32"/>
          <w:szCs w:val="32"/>
          <w:lang w:val="zh-CN" w:eastAsia="zh-CN" w:bidi="ar"/>
        </w:rPr>
        <w:t>及其他有关安全生产的法律、法规、标准和应急预案管理文件等。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93" w:name="_Toc26908"/>
      <w:r>
        <w:rPr>
          <w:rFonts w:hint="eastAsia" w:ascii="楷体_GB2312" w:hAnsi="楷体_GB2312" w:eastAsia="楷体_GB2312" w:cs="楷体_GB2312"/>
          <w:sz w:val="32"/>
          <w:szCs w:val="32"/>
          <w:lang w:eastAsia="zh-CN"/>
        </w:rPr>
        <w:t>1.3 适用范围</w:t>
      </w:r>
      <w:bookmarkEnd w:id="9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本预案适用于永泰县内烟花爆竹储存、使用、运输、经营等中发生安全事故的应急救援工作</w:t>
      </w:r>
      <w:r>
        <w:rPr>
          <w:rFonts w:hint="eastAsia"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94" w:name="_Toc15557"/>
      <w:r>
        <w:rPr>
          <w:rFonts w:hint="eastAsia" w:ascii="楷体_GB2312" w:hAnsi="楷体_GB2312" w:eastAsia="楷体_GB2312" w:cs="楷体_GB2312"/>
          <w:sz w:val="32"/>
          <w:szCs w:val="32"/>
          <w:lang w:eastAsia="zh-CN"/>
        </w:rPr>
        <w:t>1.4 工作原则</w:t>
      </w:r>
      <w:bookmarkEnd w:id="9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坚持“安全第一、预防为主、综合治理”的方针，全面规划、整合资源，将平时管理与应急处置有机结合起来；加强培训演练，日常工作和应急工作相结合，充分发挥生产经营单位的专兼职应急队伍第一时间开展先期处置，发挥应急第一响应者的作用</w:t>
      </w:r>
      <w:r>
        <w:rPr>
          <w:rFonts w:hint="eastAsia" w:cs="仿宋_GB2312"/>
          <w:sz w:val="32"/>
          <w:szCs w:val="32"/>
          <w:lang w:eastAsia="zh-CN"/>
        </w:rPr>
        <w:t>。</w:t>
      </w:r>
      <w:r>
        <w:rPr>
          <w:rFonts w:hint="eastAsia" w:ascii="仿宋_GB2312" w:hAnsi="仿宋_GB2312" w:eastAsia="仿宋_GB2312" w:cs="仿宋_GB2312"/>
          <w:sz w:val="32"/>
          <w:szCs w:val="32"/>
          <w:lang w:eastAsia="zh-CN"/>
        </w:rPr>
        <w:t>树立“以人为本，生命至上”的理念，贯彻统一指挥、分级负责、属地为主、单位自救与社会救援相结合的原则，建立高效应急救援机制，最大限度地减少人员伤亡和财产损失，把事故危害程度降低到最低点，维护</w:t>
      </w:r>
      <w:r>
        <w:rPr>
          <w:rFonts w:hint="eastAsia" w:cs="仿宋_GB2312"/>
          <w:sz w:val="32"/>
          <w:szCs w:val="32"/>
          <w:lang w:val="en-US" w:eastAsia="zh-CN"/>
        </w:rPr>
        <w:t>永泰县</w:t>
      </w:r>
      <w:r>
        <w:rPr>
          <w:rFonts w:hint="eastAsia" w:ascii="仿宋_GB2312" w:hAnsi="仿宋_GB2312" w:eastAsia="仿宋_GB2312" w:cs="仿宋_GB2312"/>
          <w:sz w:val="32"/>
          <w:szCs w:val="32"/>
          <w:lang w:eastAsia="zh-CN"/>
        </w:rPr>
        <w:t>经济建设和社会稳定。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方正黑体简体" w:hAnsi="方正黑体简体" w:eastAsia="方正黑体简体" w:cs="方正黑体简体"/>
          <w:sz w:val="32"/>
          <w:szCs w:val="32"/>
          <w:lang w:eastAsia="zh-CN"/>
        </w:rPr>
      </w:pPr>
      <w:bookmarkStart w:id="95" w:name="_Toc21932"/>
      <w:r>
        <w:rPr>
          <w:rFonts w:hint="eastAsia" w:ascii="方正黑体简体" w:hAnsi="方正黑体简体" w:eastAsia="方正黑体简体" w:cs="方正黑体简体"/>
          <w:sz w:val="32"/>
          <w:szCs w:val="32"/>
          <w:lang w:eastAsia="zh-CN"/>
        </w:rPr>
        <w:t>2. 组织机构及职责</w:t>
      </w:r>
      <w:bookmarkEnd w:id="9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96" w:name="_Toc25726"/>
      <w:r>
        <w:rPr>
          <w:rFonts w:hint="eastAsia" w:ascii="楷体_GB2312" w:hAnsi="楷体_GB2312" w:eastAsia="楷体_GB2312" w:cs="楷体_GB2312"/>
          <w:sz w:val="32"/>
          <w:szCs w:val="32"/>
          <w:lang w:eastAsia="zh-CN"/>
        </w:rPr>
        <w:t>2.1指挥部及职责</w:t>
      </w:r>
      <w:bookmarkEnd w:id="9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委、</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政府的统一领导下，成立</w:t>
      </w:r>
      <w:r>
        <w:rPr>
          <w:rFonts w:hint="eastAsia" w:cs="仿宋_GB2312"/>
          <w:sz w:val="32"/>
          <w:szCs w:val="32"/>
          <w:lang w:val="en-US" w:eastAsia="zh-CN"/>
        </w:rPr>
        <w:t>永泰县</w:t>
      </w:r>
      <w:r>
        <w:rPr>
          <w:rFonts w:hint="eastAsia" w:ascii="仿宋_GB2312" w:hAnsi="仿宋_GB2312" w:eastAsia="仿宋_GB2312" w:cs="仿宋_GB2312"/>
          <w:sz w:val="32"/>
          <w:szCs w:val="32"/>
          <w:lang w:eastAsia="zh-CN"/>
        </w:rPr>
        <w:t>烟花爆竹生产安全事故应急救援指挥部（以下简称“</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指挥部”）。实行指挥长负责制。其主要职责是：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仿宋_GB2312" w:hAnsi="仿宋_GB2312" w:eastAsia="仿宋_GB2312" w:cs="仿宋_GB2312"/>
          <w:sz w:val="32"/>
          <w:szCs w:val="32"/>
          <w:lang w:eastAsia="zh-CN"/>
        </w:rPr>
      </w:pPr>
      <w:bookmarkStart w:id="97" w:name="_Toc11240"/>
      <w:r>
        <w:rPr>
          <w:rFonts w:hint="eastAsia" w:ascii="仿宋_GB2312" w:hAnsi="仿宋_GB2312" w:eastAsia="仿宋_GB2312" w:cs="仿宋_GB2312"/>
          <w:sz w:val="32"/>
          <w:szCs w:val="32"/>
          <w:lang w:eastAsia="zh-CN"/>
        </w:rPr>
        <w:t>1、组织、协调、指挥全</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烟花爆竹事故应急救援工作；</w:t>
      </w:r>
      <w:bookmarkEnd w:id="9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2、必要时，</w:t>
      </w:r>
      <w:r>
        <w:rPr>
          <w:rFonts w:hint="eastAsia" w:cs="仿宋_GB2312"/>
          <w:sz w:val="32"/>
          <w:szCs w:val="32"/>
          <w:lang w:val="en-US" w:eastAsia="zh-CN"/>
        </w:rPr>
        <w:t>向县政府报告，由县政府申请</w:t>
      </w:r>
      <w:r>
        <w:rPr>
          <w:rFonts w:hint="eastAsia" w:ascii="仿宋_GB2312" w:hAnsi="仿宋_GB2312" w:eastAsia="仿宋_GB2312" w:cs="仿宋_GB2312"/>
          <w:sz w:val="32"/>
          <w:szCs w:val="32"/>
          <w:lang w:eastAsia="zh-CN"/>
        </w:rPr>
        <w:t>协调驻地部队参加烟花爆竹事故应急救援；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3、决定启动</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烟花爆竹生产安全事故应急救援预案；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4、决定应急救援行动重大事项；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5、决定烟花爆竹生产安全事故应急管理重大事项等。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当Ⅳ级响应时，</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长由分管副县长担任，副指挥长由县政府办副主任以及县应急管理局、公安局、交通局、福州市永泰生态环境局、卫健局分管负责人担任；成员包括县委宣传部、县商务局、财政局、民政局、县市场监管局、气象局、武警永泰中队和县消防大队等单位</w:t>
      </w:r>
      <w:r>
        <w:rPr>
          <w:rFonts w:hint="eastAsia" w:cs="仿宋_GB2312"/>
          <w:sz w:val="32"/>
          <w:szCs w:val="32"/>
          <w:lang w:val="en-US" w:eastAsia="zh-CN"/>
        </w:rPr>
        <w:t>及各乡（镇）人民政府</w:t>
      </w:r>
      <w:r>
        <w:rPr>
          <w:rFonts w:hint="eastAsia" w:ascii="仿宋_GB2312" w:hAnsi="仿宋_GB2312" w:eastAsia="仿宋_GB2312" w:cs="仿宋_GB2312"/>
          <w:sz w:val="32"/>
          <w:szCs w:val="32"/>
          <w:lang w:eastAsia="zh-CN"/>
        </w:rPr>
        <w:t>分管负责人。</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指挥部工作组组成由</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烟花爆竹事故应急救援部办公室（以下简称</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指挥部办公室，</w:t>
      </w:r>
      <w:r>
        <w:rPr>
          <w:rFonts w:hint="eastAsia" w:cs="仿宋_GB2312"/>
          <w:sz w:val="32"/>
          <w:szCs w:val="32"/>
          <w:lang w:val="en-US" w:eastAsia="zh-CN"/>
        </w:rPr>
        <w:t>设立在县应急管理局</w:t>
      </w:r>
      <w:r>
        <w:rPr>
          <w:rFonts w:hint="eastAsia" w:ascii="仿宋_GB2312" w:hAnsi="仿宋_GB2312" w:eastAsia="仿宋_GB2312" w:cs="仿宋_GB2312"/>
          <w:sz w:val="32"/>
          <w:szCs w:val="32"/>
          <w:lang w:eastAsia="zh-CN"/>
        </w:rPr>
        <w:t>）提出响应</w:t>
      </w:r>
      <w:r>
        <w:rPr>
          <w:rFonts w:hint="eastAsia" w:cs="仿宋_GB2312"/>
          <w:sz w:val="32"/>
          <w:szCs w:val="32"/>
          <w:lang w:val="en-US" w:eastAsia="zh-CN"/>
        </w:rPr>
        <w:t>申请</w:t>
      </w:r>
      <w:r>
        <w:rPr>
          <w:rFonts w:hint="eastAsia" w:ascii="仿宋_GB2312" w:hAnsi="仿宋_GB2312" w:eastAsia="仿宋_GB2312" w:cs="仿宋_GB2312"/>
          <w:sz w:val="32"/>
          <w:szCs w:val="32"/>
          <w:lang w:eastAsia="zh-CN"/>
        </w:rPr>
        <w:t>，报指挥长批准后执行。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98" w:name="_Toc14521"/>
      <w:r>
        <w:rPr>
          <w:rFonts w:hint="eastAsia" w:ascii="楷体_GB2312" w:hAnsi="楷体_GB2312" w:eastAsia="楷体_GB2312" w:cs="楷体_GB2312"/>
          <w:sz w:val="32"/>
          <w:szCs w:val="32"/>
          <w:lang w:eastAsia="zh-CN"/>
        </w:rPr>
        <w:t>2.2 指挥部成员单位及职责</w:t>
      </w:r>
      <w:bookmarkEnd w:id="98"/>
    </w:p>
    <w:p>
      <w:pPr>
        <w:autoSpaceDE/>
        <w:autoSpaceDN/>
        <w:spacing w:before="0" w:after="0" w:line="600" w:lineRule="exact"/>
        <w:ind w:right="0" w:firstLine="643"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乡（镇）政府职责：</w:t>
      </w:r>
      <w:r>
        <w:rPr>
          <w:rFonts w:hint="eastAsia" w:ascii="仿宋_GB2312" w:hAnsi="仿宋_GB2312" w:eastAsia="仿宋_GB2312" w:cs="仿宋_GB2312"/>
          <w:kern w:val="2"/>
          <w:sz w:val="32"/>
          <w:szCs w:val="32"/>
          <w:lang w:val="en-US" w:eastAsia="zh-CN" w:bidi="ar-SA"/>
        </w:rPr>
        <w:t>负责制定乡（镇）级烟花爆竹生产安全事故</w:t>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"http://www.dgemo.gov.cn/yjzx/ShowInfo.asp?ID=867"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应急</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"http://www.dgemo.gov.cn/yjzx/ShowInfo.asp?ID=867"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预案</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t>并组织演练；承担辖区烟花爆竹企业的日常安全监督管理；负责监督辖区烟花爆竹企业的安全隐患排查整治；做好辖区内烟花爆竹生产安全事故的上报工作，及时启动辖区内相应</w:t>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"http://www.dgemo.gov.cn/yjzx/ShowInfo.asp?ID=867"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的应急响应</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t>；负责组织、协调、实施本辖区烟花爆竹生产安全事故的应急救援先期处置；负责组织本辖区烟花爆竹生产安全事故人员疏散、物资调用和协助事故调查等，维护事故现场社会秩序，</w:t>
      </w:r>
      <w:r>
        <w:rPr>
          <w:rFonts w:hint="eastAsia" w:ascii="仿宋_GB2312" w:hAnsi="仿宋_GB2312" w:eastAsia="仿宋_GB2312" w:cs="仿宋_GB2312"/>
          <w:b w:val="0"/>
          <w:bCs w:val="0"/>
          <w:kern w:val="2"/>
          <w:sz w:val="32"/>
          <w:szCs w:val="32"/>
          <w:lang w:val="en-US" w:eastAsia="zh-CN" w:bidi="ar-SA"/>
        </w:rPr>
        <w:t>妥善做好善后处理等工作。</w:t>
      </w:r>
    </w:p>
    <w:p>
      <w:pPr>
        <w:autoSpaceDE/>
        <w:autoSpaceDN/>
        <w:spacing w:before="0" w:after="0" w:line="600" w:lineRule="exact"/>
        <w:ind w:right="0" w:firstLine="643"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县委宣传部：</w:t>
      </w:r>
      <w:r>
        <w:rPr>
          <w:rFonts w:hint="eastAsia" w:ascii="仿宋_GB2312" w:hAnsi="仿宋_GB2312" w:eastAsia="仿宋_GB2312" w:cs="仿宋_GB2312"/>
          <w:b w:val="0"/>
          <w:bCs w:val="0"/>
          <w:kern w:val="2"/>
          <w:sz w:val="32"/>
          <w:szCs w:val="32"/>
          <w:lang w:val="en-US" w:eastAsia="zh-CN" w:bidi="ar-SA"/>
        </w:rPr>
        <w:t>协助应急指挥部开展烟花爆竹生产安全事故新闻发布工作、协调新闻媒体跟进事故处置进展情况报道。</w:t>
      </w:r>
    </w:p>
    <w:p>
      <w:pPr>
        <w:autoSpaceDE/>
        <w:autoSpaceDN/>
        <w:spacing w:before="0" w:after="0" w:line="600" w:lineRule="exact"/>
        <w:ind w:right="0" w:firstLine="643"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县公安局：</w:t>
      </w:r>
      <w:r>
        <w:rPr>
          <w:rFonts w:hint="eastAsia" w:ascii="仿宋_GB2312" w:hAnsi="仿宋_GB2312" w:eastAsia="仿宋_GB2312" w:cs="仿宋_GB2312"/>
          <w:b w:val="0"/>
          <w:bCs w:val="0"/>
          <w:kern w:val="2"/>
          <w:sz w:val="32"/>
          <w:szCs w:val="32"/>
          <w:lang w:val="en-US" w:eastAsia="zh-CN" w:bidi="ar-SA"/>
        </w:rPr>
        <w:t>负责人员疏散和事故现场警戒。“110”报警系统承接烟花爆竹生产安全事故报告，在接到事故发生或可能发生的报告后，向应急指挥部办公室报告相关事故情况，应急指挥部办公室迅速通知属地相关负责人员赶赴现场，并将有关事故信</w:t>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HYPERLINK "http://www.dgemo.gov.cn/yjzx/ShowInfo.asp?ID=904" \h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息及时通报给烟花爆竹生产安全事故应急</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en-US" w:eastAsia="zh-CN" w:bidi="ar-SA"/>
        </w:rPr>
        <w:t>指挥部办公室和相关责任单位；负责组织事故可能危及区域内的人员疏散撤离，对人员撤离区域进行治安管理；负责事故现场区域警戒管制工作，禁止无关人员和车辆进入危险区域，保障救援道路的畅通；参与事故调查处理，负责核对死伤人数、伤亡人员身份，做好现场取证、记录、录音、录像等工作；负责划定事故现场的警戒区域，禁止无关人员进入；及时控制涉案人员等。</w:t>
      </w:r>
    </w:p>
    <w:p>
      <w:pPr>
        <w:autoSpaceDE/>
        <w:autoSpaceDN/>
        <w:spacing w:before="0" w:after="0" w:line="600" w:lineRule="exact"/>
        <w:ind w:right="0"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县红十字会：</w:t>
      </w:r>
      <w:r>
        <w:rPr>
          <w:rFonts w:hint="eastAsia" w:ascii="仿宋_GB2312" w:hAnsi="仿宋_GB2312" w:eastAsia="仿宋_GB2312" w:cs="仿宋_GB2312"/>
          <w:b w:val="0"/>
          <w:bCs w:val="0"/>
          <w:kern w:val="2"/>
          <w:sz w:val="32"/>
          <w:szCs w:val="32"/>
          <w:lang w:val="en-US" w:eastAsia="zh-CN" w:bidi="ar-SA"/>
        </w:rPr>
        <w:t>负责接受和管理社会各界捐赠，协助有关部门组织灾后重建工作。</w:t>
      </w:r>
    </w:p>
    <w:p>
      <w:pPr>
        <w:autoSpaceDE/>
        <w:autoSpaceDN/>
        <w:spacing w:before="0" w:after="0" w:line="600" w:lineRule="exact"/>
        <w:ind w:right="0"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县财政局：</w:t>
      </w:r>
      <w:r>
        <w:rPr>
          <w:rFonts w:hint="eastAsia" w:ascii="仿宋_GB2312" w:hAnsi="仿宋_GB2312" w:eastAsia="仿宋_GB2312" w:cs="仿宋_GB2312"/>
          <w:b w:val="0"/>
          <w:bCs w:val="0"/>
          <w:kern w:val="2"/>
          <w:sz w:val="32"/>
          <w:szCs w:val="32"/>
          <w:lang w:val="en-US" w:eastAsia="zh-CN" w:bidi="ar-SA"/>
        </w:rPr>
        <w:t>负责应急救援资金的准备、调度和落实工作。</w:t>
      </w:r>
    </w:p>
    <w:p>
      <w:pPr>
        <w:autoSpaceDE/>
        <w:autoSpaceDN/>
        <w:spacing w:before="0" w:after="0" w:line="600" w:lineRule="exact"/>
        <w:ind w:right="0"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县住房和城乡建设局：</w:t>
      </w:r>
      <w:r>
        <w:rPr>
          <w:rFonts w:hint="eastAsia" w:ascii="仿宋_GB2312" w:hAnsi="仿宋_GB2312" w:eastAsia="仿宋_GB2312" w:cs="仿宋_GB2312"/>
          <w:b w:val="0"/>
          <w:bCs w:val="0"/>
          <w:kern w:val="2"/>
          <w:sz w:val="32"/>
          <w:szCs w:val="32"/>
          <w:lang w:val="en-US" w:eastAsia="zh-CN" w:bidi="ar-SA"/>
        </w:rPr>
        <w:t>负责事故现场建筑物结构安全以及受损程度的测评工作，对存在结构性安全问题的建筑物进行监测，根据实际情况发布警报信号，为现场搜救工作提供建筑安全方面的建议。</w:t>
      </w:r>
    </w:p>
    <w:p>
      <w:pPr>
        <w:autoSpaceDE/>
        <w:autoSpaceDN/>
        <w:spacing w:before="0" w:after="0" w:line="600" w:lineRule="exact"/>
        <w:ind w:right="0" w:firstLine="643" w:firstLineChars="200"/>
        <w:jc w:val="both"/>
        <w:rPr>
          <w:rFonts w:hint="eastAsia" w:ascii="仿宋_GB2312" w:hAnsi="仿宋_GB2312" w:eastAsia="仿宋_GB2312" w:cs="仿宋_GB2312"/>
          <w:b/>
          <w:bCs/>
          <w:kern w:val="2"/>
          <w:sz w:val="32"/>
          <w:szCs w:val="32"/>
          <w:lang w:val="zh-CN" w:eastAsia="zh-CN" w:bidi="ar-SA"/>
        </w:rPr>
      </w:pPr>
      <w:r>
        <w:rPr>
          <w:rFonts w:hint="eastAsia" w:ascii="仿宋_GB2312" w:hAnsi="仿宋_GB2312" w:eastAsia="仿宋_GB2312" w:cs="仿宋_GB2312"/>
          <w:b/>
          <w:bCs/>
          <w:kern w:val="2"/>
          <w:sz w:val="32"/>
          <w:szCs w:val="32"/>
          <w:lang w:val="en-US" w:eastAsia="zh-CN" w:bidi="ar-SA"/>
        </w:rPr>
        <w:t>县卫健局：</w:t>
      </w:r>
      <w:r>
        <w:rPr>
          <w:rFonts w:hint="eastAsia" w:ascii="仿宋_GB2312" w:hAnsi="仿宋_GB2312" w:eastAsia="仿宋_GB2312" w:cs="仿宋_GB2312"/>
          <w:b w:val="0"/>
          <w:bCs w:val="0"/>
          <w:kern w:val="2"/>
          <w:sz w:val="32"/>
          <w:szCs w:val="32"/>
          <w:lang w:val="en-US" w:eastAsia="zh-CN" w:bidi="ar-SA"/>
        </w:rPr>
        <w:t>负责受伤人员的治疗与</w:t>
      </w:r>
      <w:r>
        <w:rPr>
          <w:rFonts w:hint="eastAsia" w:ascii="仿宋_GB2312" w:hAnsi="仿宋_GB2312" w:eastAsia="仿宋_GB2312" w:cs="仿宋_GB2312"/>
          <w:b w:val="0"/>
          <w:bCs w:val="0"/>
          <w:kern w:val="2"/>
          <w:sz w:val="32"/>
          <w:szCs w:val="32"/>
          <w:lang w:val="zh-CN" w:eastAsia="zh-CN" w:bidi="ar-SA"/>
        </w:rPr>
        <w:t>救护应急处置。确定受伤人员专业治疗与救护定点医院，负责事故现场调配医务人员、医疗器材、急救药品，组织现场救护及伤员转移，负责统计伤亡人员情况。</w:t>
      </w:r>
    </w:p>
    <w:p>
      <w:pPr>
        <w:autoSpaceDE/>
        <w:autoSpaceDN/>
        <w:spacing w:before="0" w:after="0" w:line="600" w:lineRule="exact"/>
        <w:ind w:right="0"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福州市永泰生态环境局：</w:t>
      </w:r>
      <w:r>
        <w:rPr>
          <w:rFonts w:hint="eastAsia" w:ascii="仿宋_GB2312" w:hAnsi="仿宋_GB2312" w:eastAsia="仿宋_GB2312" w:cs="仿宋_GB2312"/>
          <w:b w:val="0"/>
          <w:bCs w:val="0"/>
          <w:kern w:val="2"/>
          <w:sz w:val="32"/>
          <w:szCs w:val="32"/>
          <w:lang w:val="en-US" w:eastAsia="zh-CN" w:bidi="ar-SA"/>
        </w:rPr>
        <w:t>负责处置因烟花爆竹生产安全事故而引起的环境污染和生态破坏。负责烟花爆竹生产安全事故引起的环境污染的应急监测，对可能存在较长时间环境影响的区域发出警告，提出控制措施并进行监测，事故得到控制后指导消除现场遗留的危险物质对环境产生的二次污染提出指导意见，参与烟花爆竹生产安全事故调查。</w:t>
      </w:r>
    </w:p>
    <w:p>
      <w:pPr>
        <w:autoSpaceDE/>
        <w:autoSpaceDN/>
        <w:spacing w:before="0" w:after="0" w:line="600" w:lineRule="exact"/>
        <w:ind w:right="0" w:firstLine="643" w:firstLineChars="200"/>
        <w:jc w:val="both"/>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县应急管理局：</w:t>
      </w:r>
      <w:r>
        <w:rPr>
          <w:rFonts w:hint="eastAsia" w:ascii="仿宋_GB2312" w:hAnsi="仿宋_GB2312" w:eastAsia="仿宋_GB2312" w:cs="仿宋_GB2312"/>
          <w:b w:val="0"/>
          <w:bCs w:val="0"/>
          <w:kern w:val="2"/>
          <w:sz w:val="32"/>
          <w:szCs w:val="32"/>
          <w:lang w:val="en-US" w:eastAsia="zh-CN" w:bidi="ar-SA"/>
        </w:rPr>
        <w:t>负责烟花爆竹生产安全事故应急指挥部的日常管理工作；组织县烟花爆竹生产安全事故应急预案编制、修订和评审，并开展烟花爆竹生产安全事故应急演练；负责建立烟花爆竹生产安全事故应急专家组，组织专家开展应急救援咨询服务；在县政府授权下开展烟花爆竹生产安全事故调查处理。</w:t>
      </w:r>
    </w:p>
    <w:p>
      <w:pPr>
        <w:autoSpaceDE/>
        <w:autoSpaceDN/>
        <w:spacing w:before="0" w:after="0" w:line="600" w:lineRule="exact"/>
        <w:ind w:right="0"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县交通运输局：</w:t>
      </w:r>
      <w:r>
        <w:rPr>
          <w:rFonts w:hint="eastAsia" w:ascii="仿宋_GB2312" w:hAnsi="仿宋_GB2312" w:eastAsia="仿宋_GB2312" w:cs="仿宋_GB2312"/>
          <w:b w:val="0"/>
          <w:bCs w:val="0"/>
          <w:kern w:val="2"/>
          <w:sz w:val="32"/>
          <w:szCs w:val="32"/>
          <w:lang w:val="en-US" w:eastAsia="zh-CN" w:bidi="ar-SA"/>
        </w:rPr>
        <w:t>负责组织协调有关单位做好事故应急救援交通运输保障工作；参加事故现场处置，做好受灾群众转移；指定抢险运输单位，负责监督抢险车辆的保养，驾驶人员的培训；负责组织事故现场危险物资的转移、抢险物资和抢险人员的运送。</w:t>
      </w:r>
    </w:p>
    <w:p>
      <w:pPr>
        <w:autoSpaceDE/>
        <w:autoSpaceDN/>
        <w:spacing w:before="0" w:after="0" w:line="600" w:lineRule="exact"/>
        <w:ind w:right="0"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县</w:t>
      </w:r>
      <w:r>
        <w:rPr>
          <w:rFonts w:hint="eastAsia" w:cs="仿宋_GB2312"/>
          <w:b/>
          <w:bCs/>
          <w:kern w:val="2"/>
          <w:sz w:val="32"/>
          <w:szCs w:val="32"/>
          <w:lang w:val="en-US" w:eastAsia="zh-CN" w:bidi="ar-SA"/>
        </w:rPr>
        <w:t>公安局</w:t>
      </w:r>
      <w:r>
        <w:rPr>
          <w:rFonts w:hint="eastAsia" w:ascii="仿宋_GB2312" w:hAnsi="仿宋_GB2312" w:eastAsia="仿宋_GB2312" w:cs="仿宋_GB2312"/>
          <w:b/>
          <w:bCs/>
          <w:kern w:val="2"/>
          <w:sz w:val="32"/>
          <w:szCs w:val="32"/>
          <w:lang w:val="en-US" w:eastAsia="zh-CN" w:bidi="ar-SA"/>
        </w:rPr>
        <w:t>交警大队：</w:t>
      </w:r>
      <w:r>
        <w:rPr>
          <w:rFonts w:hint="eastAsia" w:ascii="仿宋_GB2312" w:hAnsi="仿宋_GB2312" w:eastAsia="仿宋_GB2312" w:cs="仿宋_GB2312"/>
          <w:b w:val="0"/>
          <w:bCs w:val="0"/>
          <w:kern w:val="2"/>
          <w:sz w:val="32"/>
          <w:szCs w:val="32"/>
          <w:lang w:val="en-US" w:eastAsia="zh-CN" w:bidi="ar-SA"/>
        </w:rPr>
        <w:t>负责事故现场区域周边道路的交通管制，禁止无关车辆进入危险区域，为应急抢险做好绿色通道保障，确保救援道路的畅通。</w:t>
      </w:r>
    </w:p>
    <w:p>
      <w:pPr>
        <w:autoSpaceDE/>
        <w:autoSpaceDN/>
        <w:spacing w:before="0" w:after="0" w:line="600" w:lineRule="exact"/>
        <w:ind w:right="0"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县消防救援大队：</w:t>
      </w:r>
      <w:r>
        <w:rPr>
          <w:rFonts w:hint="eastAsia" w:ascii="仿宋_GB2312" w:hAnsi="仿宋_GB2312" w:eastAsia="仿宋_GB2312" w:cs="仿宋_GB2312"/>
          <w:b w:val="0"/>
          <w:bCs w:val="0"/>
          <w:kern w:val="2"/>
          <w:sz w:val="32"/>
          <w:szCs w:val="32"/>
          <w:lang w:val="en-US" w:eastAsia="zh-CN" w:bidi="ar-SA"/>
        </w:rPr>
        <w:t>负责在紧急状态下的现场抢险作业。组织、协调辖区内消防队伍开展事故应急救援工作；扑灭事故现场火灾，控制易燃、易爆、有毒物质泄漏和有关设备容器的冷却；负责事故现场遇险、失踪人员的搜救、搜寻；事故得到控制后负责事故现场洗消。</w:t>
      </w:r>
    </w:p>
    <w:p>
      <w:pPr>
        <w:autoSpaceDE/>
        <w:autoSpaceDN/>
        <w:spacing w:before="0" w:after="0" w:line="600" w:lineRule="exact"/>
        <w:ind w:right="0"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其他有关部门：</w:t>
      </w:r>
      <w:r>
        <w:rPr>
          <w:rFonts w:hint="eastAsia" w:ascii="仿宋_GB2312" w:hAnsi="仿宋_GB2312" w:eastAsia="仿宋_GB2312" w:cs="仿宋_GB2312"/>
          <w:b w:val="0"/>
          <w:bCs w:val="0"/>
          <w:kern w:val="2"/>
          <w:sz w:val="32"/>
          <w:szCs w:val="32"/>
          <w:lang w:val="en-US" w:eastAsia="zh-CN" w:bidi="ar-SA"/>
        </w:rPr>
        <w:t>根据各自职责，做好烟花爆竹生产安全事故应急的相关工作。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99" w:name="_Toc27911"/>
      <w:r>
        <w:rPr>
          <w:rFonts w:hint="eastAsia" w:ascii="楷体_GB2312" w:hAnsi="楷体_GB2312" w:eastAsia="楷体_GB2312" w:cs="楷体_GB2312"/>
          <w:sz w:val="32"/>
          <w:szCs w:val="32"/>
          <w:lang w:eastAsia="zh-CN"/>
        </w:rPr>
        <w:t xml:space="preserve">2.3 </w:t>
      </w:r>
      <w:r>
        <w:rPr>
          <w:rFonts w:hint="eastAsia" w:ascii="楷体_GB2312" w:hAnsi="楷体_GB2312" w:eastAsia="楷体_GB2312" w:cs="楷体_GB2312"/>
          <w:sz w:val="32"/>
          <w:szCs w:val="32"/>
          <w:lang w:val="en-US" w:eastAsia="zh-CN"/>
        </w:rPr>
        <w:t>县</w:t>
      </w:r>
      <w:r>
        <w:rPr>
          <w:rFonts w:hint="eastAsia" w:ascii="楷体_GB2312" w:hAnsi="楷体_GB2312" w:eastAsia="楷体_GB2312" w:cs="楷体_GB2312"/>
          <w:sz w:val="32"/>
          <w:szCs w:val="32"/>
          <w:lang w:eastAsia="zh-CN"/>
        </w:rPr>
        <w:t>指挥部办公室及其职责</w:t>
      </w:r>
      <w:bookmarkEnd w:id="9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指挥部办公室设在</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应急局，承担烟花爆竹生产安全事故应急管理日常工作，办公室主任由分管副局长兼任。指挥部办公室设在县应急管理局，负责指挥部日常管理工作。设立事故报警电话，并以报警电话“0591-2483</w:t>
      </w:r>
      <w:r>
        <w:rPr>
          <w:rFonts w:hint="eastAsia" w:cs="仿宋_GB2312"/>
          <w:sz w:val="32"/>
          <w:szCs w:val="32"/>
          <w:lang w:val="en-US" w:eastAsia="zh-CN"/>
        </w:rPr>
        <w:t>7495</w:t>
      </w:r>
      <w:r>
        <w:rPr>
          <w:rFonts w:hint="eastAsia" w:ascii="仿宋_GB2312" w:hAnsi="仿宋_GB2312" w:eastAsia="仿宋_GB2312" w:cs="仿宋_GB2312"/>
          <w:sz w:val="32"/>
          <w:szCs w:val="32"/>
          <w:lang w:eastAsia="zh-CN"/>
        </w:rPr>
        <w:t>”为24小时值班接警电话。其职责为：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负责全</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烟花爆竹生产安全事故应急管理的综合协调；协调处置</w:t>
      </w:r>
      <w:r>
        <w:rPr>
          <w:rFonts w:hint="eastAsia" w:cs="仿宋_GB2312"/>
          <w:sz w:val="32"/>
          <w:szCs w:val="32"/>
          <w:lang w:val="en-US" w:eastAsia="zh-CN"/>
        </w:rPr>
        <w:t>一般</w:t>
      </w:r>
      <w:r>
        <w:rPr>
          <w:rFonts w:hint="eastAsia" w:ascii="仿宋_GB2312" w:hAnsi="仿宋_GB2312" w:eastAsia="仿宋_GB2312" w:cs="仿宋_GB2312"/>
          <w:sz w:val="32"/>
          <w:szCs w:val="32"/>
          <w:lang w:eastAsia="zh-CN"/>
        </w:rPr>
        <w:t>级别</w:t>
      </w:r>
      <w:r>
        <w:rPr>
          <w:rFonts w:hint="eastAsia" w:cs="仿宋_GB2312"/>
          <w:sz w:val="32"/>
          <w:szCs w:val="32"/>
          <w:lang w:val="en-US" w:eastAsia="zh-CN"/>
        </w:rPr>
        <w:t>烟花爆竹</w:t>
      </w:r>
      <w:r>
        <w:rPr>
          <w:rFonts w:hint="eastAsia" w:ascii="仿宋_GB2312" w:hAnsi="仿宋_GB2312" w:eastAsia="仿宋_GB2312" w:cs="仿宋_GB2312"/>
          <w:sz w:val="32"/>
          <w:szCs w:val="32"/>
          <w:lang w:eastAsia="zh-CN"/>
        </w:rPr>
        <w:t>事故应急救援工作</w:t>
      </w:r>
      <w:r>
        <w:rPr>
          <w:rFonts w:hint="eastAsia" w:cs="仿宋_GB2312"/>
          <w:sz w:val="32"/>
          <w:szCs w:val="32"/>
          <w:lang w:val="en-US" w:eastAsia="zh-CN"/>
        </w:rPr>
        <w:t>，较大及以上级别烟花爆竹事故发生时成立现场指挥部负责应急救援工作的先期处置工作</w:t>
      </w:r>
      <w:r>
        <w:rPr>
          <w:rFonts w:hint="eastAsia" w:ascii="仿宋_GB2312" w:hAnsi="仿宋_GB2312" w:eastAsia="仿宋_GB2312" w:cs="仿宋_GB2312"/>
          <w:sz w:val="32"/>
          <w:szCs w:val="32"/>
          <w:lang w:eastAsia="zh-CN"/>
        </w:rPr>
        <w:t>，组织调度专业应急队伍、应急救援专家、应急救援物资等应急资源；指导</w:t>
      </w:r>
      <w:r>
        <w:rPr>
          <w:rFonts w:hint="eastAsia" w:cs="仿宋_GB2312"/>
          <w:sz w:val="32"/>
          <w:szCs w:val="32"/>
          <w:lang w:val="en-US" w:eastAsia="zh-CN"/>
        </w:rPr>
        <w:t>各乡（镇）人民政府</w:t>
      </w:r>
      <w:r>
        <w:rPr>
          <w:rFonts w:hint="eastAsia" w:ascii="仿宋_GB2312" w:hAnsi="仿宋_GB2312" w:eastAsia="仿宋_GB2312" w:cs="仿宋_GB2312"/>
          <w:sz w:val="32"/>
          <w:szCs w:val="32"/>
          <w:lang w:eastAsia="zh-CN"/>
        </w:rPr>
        <w:t>开展烟花爆竹生产安全事故的应急救援工作</w:t>
      </w:r>
      <w:r>
        <w:rPr>
          <w:rFonts w:hint="eastAsia" w:cs="仿宋_GB2312"/>
          <w:sz w:val="32"/>
          <w:szCs w:val="32"/>
          <w:lang w:val="en-US" w:eastAsia="zh-CN"/>
        </w:rPr>
        <w:t>的先期应急处置工作</w:t>
      </w:r>
      <w:r>
        <w:rPr>
          <w:rFonts w:hint="eastAsia" w:ascii="仿宋_GB2312" w:hAnsi="仿宋_GB2312" w:eastAsia="仿宋_GB2312" w:cs="仿宋_GB2312"/>
          <w:sz w:val="32"/>
          <w:szCs w:val="32"/>
          <w:lang w:eastAsia="zh-CN"/>
        </w:rPr>
        <w:t>；指导全县烟花爆竹生产安全事故应急宣传教育</w:t>
      </w:r>
      <w:r>
        <w:rPr>
          <w:rFonts w:hint="eastAsia" w:cs="仿宋_GB2312"/>
          <w:sz w:val="32"/>
          <w:szCs w:val="32"/>
          <w:lang w:eastAsia="zh-CN"/>
        </w:rPr>
        <w:t>；</w:t>
      </w:r>
      <w:r>
        <w:rPr>
          <w:rFonts w:hint="eastAsia" w:ascii="仿宋_GB2312" w:hAnsi="仿宋_GB2312" w:eastAsia="仿宋_GB2312" w:cs="仿宋_GB2312"/>
          <w:sz w:val="32"/>
          <w:szCs w:val="32"/>
          <w:lang w:eastAsia="zh-CN"/>
        </w:rPr>
        <w:t>组织</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烟花爆竹生产安全事故应急预案的编制</w:t>
      </w:r>
      <w:r>
        <w:rPr>
          <w:rFonts w:hint="eastAsia" w:cs="仿宋_GB2312"/>
          <w:sz w:val="32"/>
          <w:szCs w:val="32"/>
          <w:lang w:eastAsia="zh-CN"/>
        </w:rPr>
        <w:t>、</w:t>
      </w:r>
      <w:r>
        <w:rPr>
          <w:rFonts w:hint="eastAsia" w:cs="仿宋_GB2312"/>
          <w:sz w:val="32"/>
          <w:szCs w:val="32"/>
          <w:lang w:val="en-US" w:eastAsia="zh-CN"/>
        </w:rPr>
        <w:t>管理</w:t>
      </w:r>
      <w:r>
        <w:rPr>
          <w:rFonts w:hint="eastAsia" w:ascii="仿宋_GB2312" w:hAnsi="仿宋_GB2312" w:eastAsia="仿宋_GB2312" w:cs="仿宋_GB2312"/>
          <w:sz w:val="32"/>
          <w:szCs w:val="32"/>
          <w:lang w:eastAsia="zh-CN"/>
        </w:rPr>
        <w:t>和修订及演练工作；协助组织烟花爆竹生产安全事故新闻发布会等。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00" w:name="_Toc29709"/>
      <w:r>
        <w:rPr>
          <w:rFonts w:hint="eastAsia" w:ascii="楷体_GB2312" w:hAnsi="楷体_GB2312" w:eastAsia="楷体_GB2312" w:cs="楷体_GB2312"/>
          <w:sz w:val="32"/>
          <w:szCs w:val="32"/>
          <w:lang w:eastAsia="zh-CN"/>
        </w:rPr>
        <w:t>2.4 专家组及职责</w:t>
      </w:r>
      <w:bookmarkEnd w:id="10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指挥部办公室负责专家组的日常管理。</w:t>
      </w:r>
      <w:r>
        <w:rPr>
          <w:rFonts w:hint="eastAsia" w:cs="仿宋_GB2312"/>
          <w:sz w:val="32"/>
          <w:szCs w:val="32"/>
          <w:lang w:val="en-US" w:eastAsia="zh-CN"/>
        </w:rPr>
        <w:t>目前县应急救援专家组依托市级应急管理专家库内专家，</w:t>
      </w:r>
      <w:r>
        <w:rPr>
          <w:rFonts w:hint="eastAsia" w:ascii="仿宋_GB2312" w:hAnsi="仿宋_GB2312" w:eastAsia="仿宋_GB2312" w:cs="仿宋_GB2312"/>
          <w:sz w:val="32"/>
          <w:szCs w:val="32"/>
          <w:lang w:eastAsia="zh-CN"/>
        </w:rPr>
        <w:t>专家组的主要职能是：为</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烟花爆竹生产安全事故应急指挥部应急救援工作提供决策咨询和技术保障；根据</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烟花爆竹生产安全事故应急指挥部要求，参与应急救援工作。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01" w:name="_Toc5781"/>
      <w:r>
        <w:rPr>
          <w:rFonts w:hint="eastAsia" w:ascii="楷体_GB2312" w:hAnsi="楷体_GB2312" w:eastAsia="楷体_GB2312" w:cs="楷体_GB2312"/>
          <w:sz w:val="32"/>
          <w:szCs w:val="32"/>
          <w:lang w:eastAsia="zh-CN"/>
        </w:rPr>
        <w:t>2.5 现场指挥部及职责</w:t>
      </w:r>
      <w:bookmarkEnd w:id="10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烟花爆竹生产安全事故应急救援现场指挥部（以下简称“现场指挥部”）是发生事故后成立的临时机构，现场指挥工作实行指挥负责制。其组成和工作职责由</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指挥部决定。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Ⅳ级以上响应时，</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现场指挥部的组成由</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指挥部确定。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cs="仿宋_GB2312"/>
          <w:sz w:val="32"/>
          <w:szCs w:val="32"/>
          <w:lang w:val="en-US" w:eastAsia="zh-CN"/>
        </w:rPr>
        <w:t>县</w:t>
      </w:r>
      <w:r>
        <w:rPr>
          <w:rFonts w:hint="eastAsia" w:ascii="仿宋_GB2312" w:hAnsi="仿宋_GB2312" w:eastAsia="仿宋_GB2312" w:cs="仿宋_GB2312"/>
          <w:sz w:val="32"/>
          <w:szCs w:val="32"/>
          <w:lang w:eastAsia="zh-CN"/>
        </w:rPr>
        <w:t>现场指挥部的职责是：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仿宋_GB2312" w:hAnsi="仿宋_GB2312" w:eastAsia="仿宋_GB2312" w:cs="仿宋_GB2312"/>
          <w:sz w:val="32"/>
          <w:szCs w:val="32"/>
          <w:lang w:eastAsia="zh-CN"/>
        </w:rPr>
      </w:pPr>
      <w:bookmarkStart w:id="102" w:name="_Toc24032"/>
      <w:r>
        <w:rPr>
          <w:rFonts w:hint="eastAsia" w:ascii="仿宋_GB2312" w:hAnsi="仿宋_GB2312" w:eastAsia="仿宋_GB2312" w:cs="仿宋_GB2312"/>
          <w:sz w:val="32"/>
          <w:szCs w:val="32"/>
          <w:lang w:eastAsia="zh-CN"/>
        </w:rPr>
        <w:t>1、负责现场应急救援的组织实施工作。</w:t>
      </w:r>
      <w:bookmarkEnd w:id="10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2、确定应急工作中采取的处理措施，对预案实施过程中遇到的问题、发生的变化及时提出调整和处理意见。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3、确定现场应急资源的需求，及时向</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指挥部请求协调调配。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4、组织实施伤员救护、工程抢险和人员疏散、人员安置等工作。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5、记录、收集和汇总现场各类信息，及时向</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指挥部及有关部门通报事故及救援情况。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6、提出现场应急救援工作中止或终止的建议。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7、完成</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指挥部交办的其他工作。</w:t>
      </w:r>
    </w:p>
    <w:p>
      <w:pPr>
        <w:pStyle w:val="2"/>
        <w:ind w:left="0" w:leftChars="0" w:firstLine="640" w:firstLineChars="20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8、县指挥部领导赶赴现场指挥事故应急救援时</w:t>
      </w:r>
      <w:r>
        <w:rPr>
          <w:rFonts w:hint="eastAsia" w:ascii="仿宋_GB2312" w:hAnsi="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现场指挥部指挥长必要时移交现场指挥权。</w:t>
      </w:r>
    </w:p>
    <w:p>
      <w:pPr>
        <w:pStyle w:val="2"/>
        <w:ind w:left="0" w:leftChars="0" w:firstLine="640" w:firstLineChars="200"/>
        <w:rPr>
          <w:rFonts w:hint="eastAsia"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9</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cs="仿宋_GB2312"/>
          <w:color w:val="auto"/>
          <w:kern w:val="2"/>
          <w:sz w:val="32"/>
          <w:szCs w:val="32"/>
          <w:lang w:val="en-US" w:eastAsia="zh-CN" w:bidi="ar-SA"/>
        </w:rPr>
        <w:t>在上级成立现场指挥部并到达现场时移交指挥权，并接受上级指挥部指挥和调配，开展应急处置工作。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根据工作需要，指挥部下设</w:t>
      </w:r>
      <w:r>
        <w:rPr>
          <w:rFonts w:hint="eastAsia" w:cs="仿宋_GB2312"/>
          <w:sz w:val="32"/>
          <w:szCs w:val="32"/>
          <w:lang w:val="en-US" w:eastAsia="zh-CN"/>
        </w:rPr>
        <w:t>9</w:t>
      </w:r>
      <w:r>
        <w:rPr>
          <w:rFonts w:hint="eastAsia" w:ascii="仿宋_GB2312" w:hAnsi="仿宋_GB2312" w:eastAsia="仿宋_GB2312" w:cs="仿宋_GB2312"/>
          <w:sz w:val="32"/>
          <w:szCs w:val="32"/>
        </w:rPr>
        <w:t>个工作小组（根据工作需要可作调整）：</w:t>
      </w:r>
    </w:p>
    <w:tbl>
      <w:tblPr>
        <w:tblStyle w:val="8"/>
        <w:tblW w:w="8952" w:type="dxa"/>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6"/>
        <w:gridCol w:w="1276"/>
        <w:gridCol w:w="6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556" w:type="dxa"/>
            <w:tcBorders>
              <w:top w:val="single" w:color="auto" w:sz="4" w:space="0"/>
              <w:left w:val="single" w:color="auto" w:sz="4" w:space="0"/>
              <w:bottom w:val="single" w:color="auto" w:sz="4" w:space="0"/>
              <w:right w:val="single" w:color="auto" w:sz="4" w:space="0"/>
            </w:tcBorders>
            <w:noWrap w:val="0"/>
            <w:vAlign w:val="center"/>
          </w:tcPr>
          <w:p>
            <w:pPr>
              <w:pStyle w:val="12"/>
              <w:spacing w:before="28"/>
              <w:ind w:left="295"/>
              <w:jc w:val="left"/>
              <w:rPr>
                <w:b/>
                <w:color w:val="000000"/>
                <w:sz w:val="24"/>
              </w:rPr>
            </w:pPr>
            <w:r>
              <w:rPr>
                <w:b/>
                <w:color w:val="000000"/>
                <w:sz w:val="24"/>
              </w:rPr>
              <w:t>应急小组</w:t>
            </w:r>
          </w:p>
        </w:tc>
        <w:tc>
          <w:tcPr>
            <w:tcW w:w="7396" w:type="dxa"/>
            <w:gridSpan w:val="2"/>
            <w:tcBorders>
              <w:top w:val="single" w:color="auto" w:sz="4" w:space="0"/>
              <w:left w:val="single" w:color="auto" w:sz="4" w:space="0"/>
              <w:bottom w:val="single" w:color="auto" w:sz="4" w:space="0"/>
              <w:right w:val="single" w:color="auto" w:sz="4" w:space="0"/>
            </w:tcBorders>
            <w:noWrap w:val="0"/>
            <w:vAlign w:val="center"/>
          </w:tcPr>
          <w:p>
            <w:pPr>
              <w:pStyle w:val="12"/>
              <w:spacing w:before="28"/>
              <w:ind w:left="2229" w:right="2224"/>
              <w:rPr>
                <w:b/>
                <w:color w:val="000000"/>
                <w:sz w:val="24"/>
              </w:rPr>
            </w:pPr>
            <w:r>
              <w:rPr>
                <w:b/>
                <w:color w:val="000000"/>
                <w:sz w:val="24"/>
              </w:rPr>
              <w:t>应急救援工作组组成及职责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556" w:type="dxa"/>
            <w:vMerge w:val="restart"/>
            <w:tcBorders>
              <w:top w:val="single" w:color="auto" w:sz="4" w:space="0"/>
              <w:left w:val="single" w:color="auto" w:sz="4" w:space="0"/>
              <w:bottom w:val="single" w:color="auto" w:sz="4" w:space="0"/>
              <w:right w:val="single" w:color="auto" w:sz="4" w:space="0"/>
            </w:tcBorders>
            <w:noWrap w:val="0"/>
            <w:vAlign w:val="center"/>
          </w:tcPr>
          <w:p>
            <w:pPr>
              <w:pStyle w:val="12"/>
              <w:spacing w:before="189"/>
              <w:jc w:val="center"/>
              <w:rPr>
                <w:color w:val="000000"/>
                <w:sz w:val="24"/>
              </w:rPr>
            </w:pPr>
            <w:r>
              <w:rPr>
                <w:color w:val="000000"/>
                <w:sz w:val="24"/>
              </w:rPr>
              <w:t>综合协调组</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spacing w:line="290" w:lineRule="exact"/>
              <w:ind w:right="129"/>
              <w:jc w:val="center"/>
              <w:rPr>
                <w:color w:val="000000"/>
                <w:sz w:val="24"/>
              </w:rPr>
            </w:pPr>
            <w:r>
              <w:rPr>
                <w:color w:val="000000"/>
                <w:sz w:val="24"/>
              </w:rPr>
              <w:t>牵头单位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line="290" w:lineRule="exact"/>
              <w:jc w:val="both"/>
              <w:rPr>
                <w:rFonts w:hint="eastAsia" w:eastAsia="仿宋"/>
                <w:color w:val="000000"/>
                <w:sz w:val="24"/>
                <w:lang w:eastAsia="zh-CN"/>
              </w:rPr>
            </w:pPr>
            <w:r>
              <w:rPr>
                <w:rFonts w:hint="eastAsia"/>
                <w:color w:val="000000"/>
                <w:sz w:val="24"/>
                <w:lang w:eastAsia="zh-CN"/>
              </w:rPr>
              <w:t>县应急管理局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spacing w:line="292" w:lineRule="exact"/>
              <w:ind w:right="129"/>
              <w:jc w:val="center"/>
              <w:rPr>
                <w:color w:val="000000"/>
                <w:sz w:val="24"/>
              </w:rPr>
            </w:pPr>
            <w:r>
              <w:rPr>
                <w:color w:val="000000"/>
                <w:sz w:val="24"/>
              </w:rPr>
              <w:t>成员单位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line="292" w:lineRule="exact"/>
              <w:jc w:val="both"/>
              <w:rPr>
                <w:color w:val="000000"/>
                <w:sz w:val="24"/>
              </w:rPr>
            </w:pPr>
            <w:r>
              <w:rPr>
                <w:rFonts w:hint="eastAsia"/>
                <w:color w:val="000000"/>
                <w:sz w:val="24"/>
                <w:lang w:eastAsia="zh-CN"/>
              </w:rPr>
              <w:t>县公安局</w:t>
            </w:r>
            <w:r>
              <w:rPr>
                <w:color w:val="000000"/>
                <w:sz w:val="24"/>
              </w:rPr>
              <w:t>、事发地</w:t>
            </w:r>
            <w:r>
              <w:rPr>
                <w:rFonts w:hint="eastAsia"/>
                <w:color w:val="000000"/>
                <w:sz w:val="24"/>
                <w:lang w:eastAsia="zh-CN"/>
              </w:rPr>
              <w:t>乡（镇）</w:t>
            </w:r>
            <w:r>
              <w:rPr>
                <w:color w:val="000000"/>
                <w:sz w:val="24"/>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spacing w:before="176"/>
              <w:ind w:right="129"/>
              <w:jc w:val="center"/>
              <w:rPr>
                <w:color w:val="000000"/>
                <w:sz w:val="24"/>
              </w:rPr>
            </w:pPr>
            <w:r>
              <w:rPr>
                <w:color w:val="000000"/>
                <w:sz w:val="24"/>
              </w:rPr>
              <w:t>职责</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before="17"/>
              <w:jc w:val="both"/>
              <w:rPr>
                <w:color w:val="000000"/>
                <w:sz w:val="24"/>
              </w:rPr>
            </w:pPr>
            <w:r>
              <w:rPr>
                <w:color w:val="000000"/>
                <w:sz w:val="24"/>
              </w:rPr>
              <w:t>①协调各专业应急小组的救援工作；</w:t>
            </w:r>
          </w:p>
          <w:p>
            <w:pPr>
              <w:pStyle w:val="12"/>
              <w:spacing w:before="3"/>
              <w:jc w:val="both"/>
              <w:rPr>
                <w:color w:val="000000"/>
                <w:sz w:val="24"/>
              </w:rPr>
            </w:pPr>
            <w:r>
              <w:rPr>
                <w:color w:val="000000"/>
                <w:sz w:val="24"/>
              </w:rPr>
              <w:t>②协调调配救援人员、物资、设备器材等；</w:t>
            </w:r>
          </w:p>
          <w:p>
            <w:pPr>
              <w:pStyle w:val="12"/>
              <w:spacing w:before="4" w:line="242" w:lineRule="auto"/>
              <w:ind w:right="98"/>
              <w:jc w:val="both"/>
              <w:rPr>
                <w:color w:val="000000"/>
                <w:sz w:val="24"/>
              </w:rPr>
            </w:pPr>
            <w:r>
              <w:rPr>
                <w:color w:val="000000"/>
                <w:spacing w:val="-6"/>
                <w:sz w:val="24"/>
              </w:rPr>
              <w:t>③负责收集整理事故动态信息及处置工作情况，并按规定</w:t>
            </w:r>
            <w:r>
              <w:rPr>
                <w:color w:val="000000"/>
                <w:sz w:val="24"/>
              </w:rPr>
              <w:t>上报和通报。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56" w:type="dxa"/>
            <w:vMerge w:val="restart"/>
            <w:tcBorders>
              <w:top w:val="single" w:color="auto" w:sz="4" w:space="0"/>
              <w:left w:val="single" w:color="auto" w:sz="4" w:space="0"/>
              <w:bottom w:val="single" w:color="auto" w:sz="4" w:space="0"/>
              <w:right w:val="single" w:color="auto" w:sz="4" w:space="0"/>
            </w:tcBorders>
            <w:noWrap w:val="0"/>
            <w:vAlign w:val="center"/>
          </w:tcPr>
          <w:p>
            <w:pPr>
              <w:pStyle w:val="12"/>
              <w:spacing w:before="171"/>
              <w:jc w:val="center"/>
              <w:rPr>
                <w:color w:val="000000"/>
                <w:sz w:val="24"/>
              </w:rPr>
            </w:pPr>
            <w:r>
              <w:rPr>
                <w:color w:val="000000"/>
                <w:sz w:val="24"/>
              </w:rPr>
              <w:t>抢险救援组</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spacing w:line="292" w:lineRule="exact"/>
              <w:ind w:right="129"/>
              <w:jc w:val="center"/>
              <w:rPr>
                <w:color w:val="000000"/>
                <w:sz w:val="24"/>
              </w:rPr>
            </w:pPr>
            <w:r>
              <w:rPr>
                <w:color w:val="000000"/>
                <w:sz w:val="24"/>
              </w:rPr>
              <w:t>牵头单位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line="292" w:lineRule="exact"/>
              <w:jc w:val="both"/>
              <w:rPr>
                <w:rFonts w:hint="eastAsia" w:eastAsia="仿宋"/>
                <w:color w:val="000000"/>
                <w:sz w:val="24"/>
                <w:lang w:eastAsia="zh-CN"/>
              </w:rPr>
            </w:pPr>
            <w:r>
              <w:rPr>
                <w:rFonts w:hint="eastAsia"/>
                <w:color w:val="000000"/>
                <w:sz w:val="24"/>
                <w:lang w:eastAsia="zh-CN"/>
              </w:rPr>
              <w:t>县消防救援大队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spacing w:before="145"/>
              <w:ind w:right="129"/>
              <w:jc w:val="center"/>
              <w:rPr>
                <w:color w:val="000000"/>
                <w:sz w:val="24"/>
              </w:rPr>
            </w:pPr>
            <w:r>
              <w:rPr>
                <w:color w:val="000000"/>
                <w:sz w:val="24"/>
              </w:rPr>
              <w:t>成员单位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before="5" w:line="301" w:lineRule="exact"/>
              <w:jc w:val="both"/>
              <w:rPr>
                <w:color w:val="000000"/>
                <w:sz w:val="24"/>
              </w:rPr>
            </w:pPr>
            <w:r>
              <w:rPr>
                <w:rFonts w:hint="eastAsia"/>
                <w:color w:val="000000"/>
                <w:sz w:val="24"/>
                <w:lang w:eastAsia="zh-CN"/>
              </w:rPr>
              <w:t>县应急管理局</w:t>
            </w:r>
            <w:r>
              <w:rPr>
                <w:color w:val="000000"/>
                <w:sz w:val="24"/>
              </w:rPr>
              <w:t>、</w:t>
            </w:r>
            <w:r>
              <w:rPr>
                <w:rFonts w:hint="eastAsia"/>
                <w:color w:val="000000"/>
                <w:sz w:val="24"/>
                <w:lang w:eastAsia="zh-CN"/>
              </w:rPr>
              <w:t>县公安局</w:t>
            </w:r>
            <w:r>
              <w:rPr>
                <w:color w:val="000000"/>
                <w:sz w:val="24"/>
              </w:rPr>
              <w:t>、</w:t>
            </w:r>
            <w:r>
              <w:rPr>
                <w:rFonts w:hint="eastAsia"/>
                <w:color w:val="000000"/>
                <w:sz w:val="24"/>
                <w:lang w:eastAsia="zh-CN"/>
              </w:rPr>
              <w:t>永泰县供电公司</w:t>
            </w:r>
            <w:r>
              <w:rPr>
                <w:color w:val="000000"/>
                <w:sz w:val="24"/>
              </w:rPr>
              <w:t>、</w:t>
            </w:r>
            <w:r>
              <w:rPr>
                <w:rFonts w:hint="eastAsia"/>
                <w:color w:val="000000"/>
                <w:sz w:val="24"/>
                <w:lang w:val="en-US" w:eastAsia="zh-CN"/>
              </w:rPr>
              <w:t>县卫生健康局</w:t>
            </w:r>
            <w:r>
              <w:rPr>
                <w:color w:val="000000"/>
                <w:sz w:val="24"/>
              </w:rPr>
              <w:t>、事故发生单位等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ind w:right="129"/>
              <w:jc w:val="center"/>
              <w:rPr>
                <w:color w:val="000000"/>
                <w:sz w:val="24"/>
              </w:rPr>
            </w:pPr>
            <w:r>
              <w:rPr>
                <w:color w:val="000000"/>
                <w:sz w:val="24"/>
              </w:rPr>
              <w:t>职责</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line="297" w:lineRule="exact"/>
              <w:jc w:val="both"/>
              <w:rPr>
                <w:color w:val="000000"/>
                <w:sz w:val="24"/>
              </w:rPr>
            </w:pPr>
            <w:r>
              <w:rPr>
                <w:color w:val="000000"/>
                <w:sz w:val="24"/>
              </w:rPr>
              <w:t>①扑灭事故现场火灾；</w:t>
            </w:r>
          </w:p>
          <w:p>
            <w:pPr>
              <w:pStyle w:val="12"/>
              <w:spacing w:before="4"/>
              <w:jc w:val="both"/>
              <w:rPr>
                <w:color w:val="000000"/>
                <w:sz w:val="24"/>
              </w:rPr>
            </w:pPr>
            <w:r>
              <w:rPr>
                <w:color w:val="000000"/>
                <w:sz w:val="24"/>
              </w:rPr>
              <w:t>②对现场受伤和失踪人员进行搜救；</w:t>
            </w:r>
          </w:p>
          <w:p>
            <w:pPr>
              <w:pStyle w:val="12"/>
              <w:spacing w:before="3"/>
              <w:jc w:val="both"/>
              <w:rPr>
                <w:color w:val="000000"/>
                <w:sz w:val="24"/>
              </w:rPr>
            </w:pPr>
            <w:r>
              <w:rPr>
                <w:color w:val="000000"/>
                <w:sz w:val="24"/>
              </w:rPr>
              <w:t>③参与易燃易爆、有毒物质泄漏的处置；</w:t>
            </w:r>
          </w:p>
          <w:p>
            <w:pPr>
              <w:pStyle w:val="12"/>
              <w:spacing w:before="4"/>
              <w:jc w:val="both"/>
              <w:rPr>
                <w:color w:val="000000"/>
                <w:sz w:val="24"/>
              </w:rPr>
            </w:pPr>
            <w:r>
              <w:rPr>
                <w:color w:val="000000"/>
                <w:sz w:val="24"/>
              </w:rPr>
              <w:t>④负责制定应急救援方案，报应急指挥部审定后实施；</w:t>
            </w:r>
          </w:p>
          <w:p>
            <w:pPr>
              <w:pStyle w:val="12"/>
              <w:spacing w:before="4"/>
              <w:jc w:val="both"/>
              <w:rPr>
                <w:color w:val="000000"/>
                <w:sz w:val="24"/>
              </w:rPr>
            </w:pPr>
            <w:r>
              <w:rPr>
                <w:color w:val="000000"/>
                <w:sz w:val="24"/>
              </w:rPr>
              <w:t>⑤制定并实施防止事故扩大的安全防范措施；</w:t>
            </w:r>
          </w:p>
          <w:p>
            <w:pPr>
              <w:pStyle w:val="12"/>
              <w:spacing w:before="1" w:line="310" w:lineRule="atLeast"/>
              <w:ind w:right="98"/>
              <w:jc w:val="both"/>
              <w:rPr>
                <w:color w:val="000000"/>
                <w:sz w:val="24"/>
              </w:rPr>
            </w:pPr>
            <w:r>
              <w:rPr>
                <w:color w:val="000000"/>
                <w:spacing w:val="-8"/>
                <w:sz w:val="24"/>
              </w:rPr>
              <w:t>⑥做好事故过程中和事故后有毒、腐蚀等有害物质的清理</w:t>
            </w:r>
            <w:r>
              <w:rPr>
                <w:color w:val="000000"/>
                <w:sz w:val="24"/>
              </w:rPr>
              <w:t>控制工作。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56" w:type="dxa"/>
            <w:vMerge w:val="restart"/>
            <w:tcBorders>
              <w:top w:val="single" w:color="auto" w:sz="4" w:space="0"/>
              <w:left w:val="single" w:color="auto" w:sz="4" w:space="0"/>
              <w:bottom w:val="single" w:color="auto" w:sz="4" w:space="0"/>
              <w:right w:val="single" w:color="auto" w:sz="4" w:space="0"/>
            </w:tcBorders>
            <w:noWrap w:val="0"/>
            <w:vAlign w:val="center"/>
          </w:tcPr>
          <w:p>
            <w:pPr>
              <w:pStyle w:val="12"/>
              <w:spacing w:before="174"/>
              <w:jc w:val="center"/>
              <w:rPr>
                <w:color w:val="000000"/>
                <w:sz w:val="24"/>
              </w:rPr>
            </w:pPr>
            <w:r>
              <w:rPr>
                <w:color w:val="000000"/>
                <w:sz w:val="24"/>
              </w:rPr>
              <w:t>警戒疏散组</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spacing w:line="292" w:lineRule="exact"/>
              <w:ind w:right="129"/>
              <w:jc w:val="center"/>
              <w:rPr>
                <w:color w:val="000000"/>
                <w:sz w:val="24"/>
              </w:rPr>
            </w:pPr>
            <w:r>
              <w:rPr>
                <w:color w:val="000000"/>
                <w:sz w:val="24"/>
              </w:rPr>
              <w:t>牵头单位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line="292" w:lineRule="exact"/>
              <w:jc w:val="both"/>
              <w:rPr>
                <w:rFonts w:hint="eastAsia" w:eastAsia="仿宋"/>
                <w:color w:val="000000"/>
                <w:sz w:val="24"/>
                <w:lang w:eastAsia="zh-CN"/>
              </w:rPr>
            </w:pPr>
            <w:r>
              <w:rPr>
                <w:rFonts w:hint="eastAsia"/>
                <w:color w:val="000000"/>
                <w:sz w:val="24"/>
                <w:lang w:eastAsia="zh-CN"/>
              </w:rPr>
              <w:t>县公安局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spacing w:before="145"/>
              <w:ind w:right="129"/>
              <w:jc w:val="center"/>
              <w:rPr>
                <w:color w:val="000000"/>
                <w:sz w:val="24"/>
              </w:rPr>
            </w:pPr>
            <w:r>
              <w:rPr>
                <w:color w:val="000000"/>
                <w:sz w:val="24"/>
              </w:rPr>
              <w:t>成员单位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line="297" w:lineRule="exact"/>
              <w:jc w:val="both"/>
              <w:rPr>
                <w:color w:val="000000"/>
                <w:sz w:val="24"/>
              </w:rPr>
            </w:pPr>
            <w:r>
              <w:rPr>
                <w:rFonts w:hint="eastAsia"/>
                <w:color w:val="000000"/>
                <w:sz w:val="24"/>
                <w:lang w:eastAsia="zh-CN"/>
              </w:rPr>
              <w:t>县</w:t>
            </w:r>
            <w:r>
              <w:rPr>
                <w:rFonts w:hint="eastAsia"/>
                <w:color w:val="000000"/>
                <w:sz w:val="24"/>
                <w:lang w:val="en-US" w:eastAsia="zh-CN"/>
              </w:rPr>
              <w:t>公安局</w:t>
            </w:r>
            <w:r>
              <w:rPr>
                <w:color w:val="000000"/>
                <w:sz w:val="24"/>
              </w:rPr>
              <w:t>交警大队、</w:t>
            </w:r>
            <w:r>
              <w:rPr>
                <w:rFonts w:hint="eastAsia"/>
                <w:color w:val="000000"/>
                <w:sz w:val="24"/>
                <w:lang w:eastAsia="zh-CN"/>
              </w:rPr>
              <w:t>县交通运输局</w:t>
            </w:r>
            <w:r>
              <w:rPr>
                <w:color w:val="000000"/>
                <w:sz w:val="24"/>
              </w:rPr>
              <w:t>、事发地</w:t>
            </w:r>
            <w:r>
              <w:rPr>
                <w:rFonts w:hint="eastAsia"/>
                <w:color w:val="000000"/>
                <w:sz w:val="24"/>
                <w:lang w:eastAsia="zh-CN"/>
              </w:rPr>
              <w:t>乡（镇）</w:t>
            </w:r>
            <w:r>
              <w:rPr>
                <w:color w:val="000000"/>
                <w:sz w:val="24"/>
              </w:rPr>
              <w:t>、事故发生单位等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ind w:right="129"/>
              <w:jc w:val="center"/>
              <w:rPr>
                <w:color w:val="000000"/>
                <w:sz w:val="24"/>
              </w:rPr>
            </w:pPr>
            <w:r>
              <w:rPr>
                <w:color w:val="000000"/>
                <w:sz w:val="24"/>
              </w:rPr>
              <w:t>职责</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line="242" w:lineRule="auto"/>
              <w:ind w:right="98"/>
              <w:jc w:val="both"/>
              <w:rPr>
                <w:color w:val="000000"/>
                <w:sz w:val="24"/>
              </w:rPr>
            </w:pPr>
            <w:r>
              <w:rPr>
                <w:color w:val="000000"/>
                <w:spacing w:val="-6"/>
                <w:sz w:val="24"/>
              </w:rPr>
              <w:t>①负责界定和组织对事故安全警戒区域内</w:t>
            </w:r>
            <w:r>
              <w:rPr>
                <w:color w:val="000000"/>
                <w:sz w:val="24"/>
              </w:rPr>
              <w:t>（</w:t>
            </w:r>
            <w:r>
              <w:rPr>
                <w:color w:val="000000"/>
                <w:spacing w:val="-3"/>
                <w:sz w:val="24"/>
              </w:rPr>
              <w:t>事故可能危及</w:t>
            </w:r>
            <w:r>
              <w:rPr>
                <w:color w:val="000000"/>
                <w:sz w:val="24"/>
              </w:rPr>
              <w:t>的区域</w:t>
            </w:r>
            <w:r>
              <w:rPr>
                <w:color w:val="000000"/>
                <w:spacing w:val="-48"/>
                <w:sz w:val="24"/>
              </w:rPr>
              <w:t>）</w:t>
            </w:r>
            <w:r>
              <w:rPr>
                <w:color w:val="000000"/>
                <w:spacing w:val="-7"/>
                <w:sz w:val="24"/>
              </w:rPr>
              <w:t>群众的安全疏散，引导群众有序撤离或转移到安</w:t>
            </w:r>
            <w:r>
              <w:rPr>
                <w:color w:val="000000"/>
                <w:sz w:val="24"/>
              </w:rPr>
              <w:t>全区域；</w:t>
            </w:r>
          </w:p>
          <w:p>
            <w:pPr>
              <w:pStyle w:val="12"/>
              <w:spacing w:line="242" w:lineRule="auto"/>
              <w:ind w:right="98"/>
              <w:jc w:val="both"/>
              <w:rPr>
                <w:color w:val="000000"/>
                <w:sz w:val="24"/>
              </w:rPr>
            </w:pPr>
            <w:r>
              <w:rPr>
                <w:color w:val="000000"/>
                <w:spacing w:val="-7"/>
                <w:sz w:val="24"/>
              </w:rPr>
              <w:t>②组织人员对群众撤离区域的治安巡逻，保护好警戒区域</w:t>
            </w:r>
            <w:r>
              <w:rPr>
                <w:color w:val="000000"/>
                <w:sz w:val="24"/>
              </w:rPr>
              <w:t>内人员和财产的安全，维护安全区域内的稳定和治安；</w:t>
            </w:r>
          </w:p>
          <w:p>
            <w:pPr>
              <w:pStyle w:val="12"/>
              <w:spacing w:line="242" w:lineRule="auto"/>
              <w:ind w:right="98"/>
              <w:jc w:val="both"/>
              <w:rPr>
                <w:color w:val="000000"/>
                <w:sz w:val="24"/>
              </w:rPr>
            </w:pPr>
            <w:r>
              <w:rPr>
                <w:color w:val="000000"/>
                <w:spacing w:val="-6"/>
                <w:sz w:val="24"/>
              </w:rPr>
              <w:t>③迅速对事故现场及周边地区和道路进行警戒、实行治安</w:t>
            </w:r>
            <w:r>
              <w:rPr>
                <w:color w:val="000000"/>
                <w:spacing w:val="-11"/>
                <w:sz w:val="24"/>
              </w:rPr>
              <w:t>管制，禁止任何未经指挥部批准的人员、车辆进入危险区</w:t>
            </w:r>
            <w:r>
              <w:rPr>
                <w:color w:val="000000"/>
                <w:sz w:val="24"/>
              </w:rPr>
              <w:t>域；</w:t>
            </w:r>
          </w:p>
          <w:p>
            <w:pPr>
              <w:pStyle w:val="12"/>
              <w:spacing w:line="242" w:lineRule="auto"/>
              <w:ind w:right="98"/>
              <w:jc w:val="both"/>
              <w:rPr>
                <w:color w:val="000000"/>
                <w:sz w:val="24"/>
              </w:rPr>
            </w:pPr>
            <w:r>
              <w:rPr>
                <w:color w:val="000000"/>
                <w:sz w:val="24"/>
              </w:rPr>
              <w:t>④维护事故灾难现场交通秩序，保障救援道路的畅通。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56" w:type="dxa"/>
            <w:vMerge w:val="restart"/>
            <w:tcBorders>
              <w:top w:val="single" w:color="auto" w:sz="4" w:space="0"/>
              <w:left w:val="single" w:color="auto" w:sz="4" w:space="0"/>
              <w:right w:val="single" w:color="auto" w:sz="4" w:space="0"/>
            </w:tcBorders>
            <w:noWrap w:val="0"/>
            <w:vAlign w:val="center"/>
          </w:tcPr>
          <w:p>
            <w:pPr>
              <w:pStyle w:val="12"/>
              <w:spacing w:before="151"/>
              <w:jc w:val="center"/>
              <w:rPr>
                <w:rFonts w:hint="eastAsia" w:eastAsia="仿宋"/>
                <w:color w:val="000000"/>
                <w:sz w:val="24"/>
                <w:lang w:eastAsia="zh-CN"/>
              </w:rPr>
            </w:pPr>
            <w:r>
              <w:rPr>
                <w:rFonts w:hint="eastAsia"/>
                <w:color w:val="000000"/>
                <w:sz w:val="24"/>
                <w:lang w:eastAsia="zh-CN"/>
              </w:rPr>
              <w:t>医疗救护组</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spacing w:line="292" w:lineRule="exact"/>
              <w:ind w:right="129"/>
              <w:jc w:val="center"/>
              <w:rPr>
                <w:color w:val="000000"/>
                <w:sz w:val="24"/>
              </w:rPr>
            </w:pPr>
            <w:r>
              <w:rPr>
                <w:color w:val="000000"/>
                <w:sz w:val="24"/>
              </w:rPr>
              <w:t>牵头单位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line="292" w:lineRule="exact"/>
              <w:jc w:val="both"/>
              <w:rPr>
                <w:rFonts w:hint="eastAsia" w:eastAsia="仿宋"/>
                <w:color w:val="000000"/>
                <w:sz w:val="24"/>
                <w:lang w:eastAsia="zh-CN"/>
              </w:rPr>
            </w:pPr>
            <w:r>
              <w:rPr>
                <w:rFonts w:hint="eastAsia"/>
                <w:color w:val="000000"/>
                <w:sz w:val="24"/>
                <w:lang w:eastAsia="zh-CN"/>
              </w:rPr>
              <w:t>县卫生健康局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56" w:type="dxa"/>
            <w:vMerge w:val="continue"/>
            <w:tcBorders>
              <w:left w:val="single" w:color="auto" w:sz="4" w:space="0"/>
              <w:right w:val="single" w:color="auto" w:sz="4" w:space="0"/>
            </w:tcBorders>
            <w:noWrap w:val="0"/>
            <w:vAlign w:val="center"/>
          </w:tcPr>
          <w:p>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spacing w:line="292" w:lineRule="exact"/>
              <w:ind w:right="129"/>
              <w:jc w:val="center"/>
              <w:rPr>
                <w:color w:val="000000"/>
                <w:sz w:val="24"/>
              </w:rPr>
            </w:pPr>
            <w:r>
              <w:rPr>
                <w:color w:val="000000"/>
                <w:sz w:val="24"/>
              </w:rPr>
              <w:t>成员单位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line="292" w:lineRule="exact"/>
              <w:jc w:val="both"/>
              <w:rPr>
                <w:color w:val="000000"/>
                <w:sz w:val="24"/>
              </w:rPr>
            </w:pPr>
            <w:r>
              <w:rPr>
                <w:color w:val="000000"/>
                <w:sz w:val="24"/>
              </w:rPr>
              <w:t>具有相应能力或指定的医院，事故发生单位等。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2" w:hRule="atLeast"/>
        </w:trPr>
        <w:tc>
          <w:tcPr>
            <w:tcW w:w="1556" w:type="dxa"/>
            <w:vMerge w:val="continue"/>
            <w:tcBorders>
              <w:left w:val="single" w:color="auto" w:sz="4" w:space="0"/>
              <w:bottom w:val="single" w:color="auto" w:sz="4" w:space="0"/>
              <w:right w:val="single" w:color="auto" w:sz="4" w:space="0"/>
            </w:tcBorders>
            <w:noWrap w:val="0"/>
            <w:vAlign w:val="center"/>
          </w:tcPr>
          <w:p>
            <w:pPr>
              <w:pStyle w:val="12"/>
              <w:jc w:val="center"/>
              <w:rPr>
                <w:rFonts w:ascii="Times New Roman"/>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ind w:right="129"/>
              <w:jc w:val="center"/>
              <w:rPr>
                <w:color w:val="000000"/>
                <w:sz w:val="24"/>
              </w:rPr>
            </w:pPr>
            <w:r>
              <w:rPr>
                <w:color w:val="000000"/>
                <w:sz w:val="24"/>
              </w:rPr>
              <w:t>职责</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before="2"/>
              <w:jc w:val="both"/>
              <w:rPr>
                <w:color w:val="000000"/>
                <w:sz w:val="24"/>
              </w:rPr>
            </w:pPr>
            <w:r>
              <w:rPr>
                <w:color w:val="000000"/>
                <w:sz w:val="24"/>
              </w:rPr>
              <w:t>①统一对本</w:t>
            </w:r>
            <w:r>
              <w:rPr>
                <w:rFonts w:hint="eastAsia"/>
                <w:color w:val="000000"/>
                <w:sz w:val="24"/>
                <w:lang w:val="en-US" w:eastAsia="zh-CN"/>
              </w:rPr>
              <w:t>县</w:t>
            </w:r>
            <w:r>
              <w:rPr>
                <w:color w:val="000000"/>
                <w:sz w:val="24"/>
              </w:rPr>
              <w:t>医疗救护队伍、设备、器械的指挥调度；</w:t>
            </w:r>
          </w:p>
          <w:p>
            <w:pPr>
              <w:pStyle w:val="12"/>
              <w:spacing w:before="4" w:line="242" w:lineRule="auto"/>
              <w:ind w:right="98"/>
              <w:jc w:val="both"/>
              <w:rPr>
                <w:color w:val="000000"/>
                <w:sz w:val="24"/>
              </w:rPr>
            </w:pPr>
            <w:r>
              <w:rPr>
                <w:color w:val="000000"/>
                <w:spacing w:val="-9"/>
                <w:sz w:val="24"/>
              </w:rPr>
              <w:t>②在事故现场设立医疗救护站，对伤员进行分类和急救处</w:t>
            </w:r>
            <w:r>
              <w:rPr>
                <w:color w:val="000000"/>
                <w:sz w:val="24"/>
              </w:rPr>
              <w:t>理，并及时向医院转送；</w:t>
            </w:r>
          </w:p>
          <w:p>
            <w:pPr>
              <w:pStyle w:val="12"/>
              <w:spacing w:before="1" w:line="242" w:lineRule="auto"/>
              <w:ind w:right="103"/>
              <w:jc w:val="both"/>
              <w:rPr>
                <w:color w:val="000000"/>
                <w:sz w:val="24"/>
              </w:rPr>
            </w:pPr>
            <w:r>
              <w:rPr>
                <w:color w:val="000000"/>
                <w:sz w:val="24"/>
              </w:rPr>
              <w:t>③对救援人员进行医疗监护，为现场指挥员提供医疗咨询；</w:t>
            </w:r>
          </w:p>
          <w:p>
            <w:pPr>
              <w:pStyle w:val="12"/>
              <w:spacing w:before="2" w:line="289" w:lineRule="exact"/>
              <w:jc w:val="both"/>
              <w:rPr>
                <w:color w:val="000000"/>
                <w:sz w:val="24"/>
              </w:rPr>
            </w:pPr>
            <w:r>
              <w:rPr>
                <w:color w:val="000000"/>
                <w:sz w:val="24"/>
              </w:rPr>
              <w:t>④必要时向上级医疗应急中心提出救援申请。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56" w:type="dxa"/>
            <w:vMerge w:val="restart"/>
            <w:tcBorders>
              <w:top w:val="single" w:color="auto" w:sz="4" w:space="0"/>
              <w:left w:val="single" w:color="auto" w:sz="4" w:space="0"/>
              <w:bottom w:val="single" w:color="auto" w:sz="4" w:space="0"/>
              <w:right w:val="single" w:color="auto" w:sz="4" w:space="0"/>
            </w:tcBorders>
            <w:noWrap w:val="0"/>
            <w:vAlign w:val="center"/>
          </w:tcPr>
          <w:p>
            <w:pPr>
              <w:pStyle w:val="12"/>
              <w:jc w:val="center"/>
              <w:rPr>
                <w:color w:val="000000"/>
                <w:sz w:val="24"/>
              </w:rPr>
            </w:pPr>
            <w:r>
              <w:rPr>
                <w:color w:val="000000"/>
                <w:sz w:val="24"/>
              </w:rPr>
              <w:t>环境监测组</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spacing w:before="1" w:line="291" w:lineRule="exact"/>
              <w:ind w:right="129"/>
              <w:jc w:val="center"/>
              <w:rPr>
                <w:color w:val="000000"/>
                <w:sz w:val="24"/>
              </w:rPr>
            </w:pPr>
            <w:r>
              <w:rPr>
                <w:color w:val="000000"/>
                <w:sz w:val="24"/>
              </w:rPr>
              <w:t>牵头单位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before="1" w:line="291" w:lineRule="exact"/>
              <w:jc w:val="both"/>
              <w:rPr>
                <w:rFonts w:hint="eastAsia" w:eastAsia="仿宋"/>
                <w:color w:val="000000"/>
                <w:sz w:val="24"/>
                <w:lang w:eastAsia="zh-CN"/>
              </w:rPr>
            </w:pPr>
            <w:r>
              <w:rPr>
                <w:rFonts w:hint="eastAsia"/>
                <w:color w:val="000000"/>
                <w:sz w:val="24"/>
                <w:lang w:eastAsia="zh-CN"/>
              </w:rPr>
              <w:t>福州市永泰生态环境局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spacing w:before="1" w:line="289" w:lineRule="exact"/>
              <w:ind w:right="129"/>
              <w:jc w:val="center"/>
              <w:rPr>
                <w:color w:val="000000"/>
                <w:sz w:val="24"/>
              </w:rPr>
            </w:pPr>
            <w:r>
              <w:rPr>
                <w:color w:val="000000"/>
                <w:sz w:val="24"/>
              </w:rPr>
              <w:t>成员单位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before="1" w:line="289" w:lineRule="exact"/>
              <w:jc w:val="both"/>
              <w:rPr>
                <w:color w:val="000000"/>
                <w:sz w:val="24"/>
              </w:rPr>
            </w:pPr>
            <w:r>
              <w:rPr>
                <w:color w:val="000000"/>
                <w:sz w:val="24"/>
              </w:rPr>
              <w:t>事故发生单位。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0"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ind w:right="129"/>
              <w:jc w:val="center"/>
              <w:rPr>
                <w:color w:val="000000"/>
                <w:sz w:val="24"/>
              </w:rPr>
            </w:pPr>
            <w:r>
              <w:rPr>
                <w:color w:val="000000"/>
                <w:sz w:val="24"/>
              </w:rPr>
              <w:t>职责</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before="2"/>
              <w:ind w:right="-29"/>
              <w:jc w:val="both"/>
              <w:rPr>
                <w:color w:val="000000"/>
                <w:sz w:val="24"/>
              </w:rPr>
            </w:pPr>
            <w:r>
              <w:rPr>
                <w:color w:val="000000"/>
                <w:spacing w:val="-15"/>
                <w:sz w:val="24"/>
              </w:rPr>
              <w:t>①负责对事故现场大气、水体、土壤等环境进行即时监测；</w:t>
            </w:r>
          </w:p>
          <w:p>
            <w:pPr>
              <w:pStyle w:val="12"/>
              <w:spacing w:before="3" w:line="242" w:lineRule="auto"/>
              <w:ind w:right="2"/>
              <w:jc w:val="both"/>
              <w:rPr>
                <w:color w:val="000000"/>
                <w:sz w:val="24"/>
              </w:rPr>
            </w:pPr>
            <w:r>
              <w:rPr>
                <w:color w:val="000000"/>
                <w:sz w:val="24"/>
              </w:rPr>
              <w:t>②负责提供事故现场环境监测数据，确定污染区域范围， 提出控制措施，及时控制污染扩散，消除环境危害；</w:t>
            </w:r>
          </w:p>
          <w:p>
            <w:pPr>
              <w:pStyle w:val="12"/>
              <w:spacing w:before="2" w:line="242" w:lineRule="auto"/>
              <w:ind w:right="2"/>
              <w:jc w:val="both"/>
              <w:rPr>
                <w:color w:val="000000"/>
                <w:sz w:val="24"/>
              </w:rPr>
            </w:pPr>
            <w:r>
              <w:rPr>
                <w:color w:val="000000"/>
                <w:sz w:val="24"/>
              </w:rPr>
              <w:t>③负责事故现场环境危害监控评估的监测与监督等工作， 并对潜在危害持续监控；</w:t>
            </w:r>
          </w:p>
          <w:p>
            <w:pPr>
              <w:pStyle w:val="12"/>
              <w:spacing w:before="2" w:line="242" w:lineRule="auto"/>
              <w:ind w:right="98"/>
              <w:jc w:val="both"/>
              <w:rPr>
                <w:color w:val="000000"/>
                <w:sz w:val="24"/>
              </w:rPr>
            </w:pPr>
            <w:r>
              <w:rPr>
                <w:color w:val="000000"/>
                <w:spacing w:val="-6"/>
                <w:sz w:val="24"/>
              </w:rPr>
              <w:t>④指导灾后现场遗留危险物质的消除和治理，对可能存在</w:t>
            </w:r>
            <w:r>
              <w:rPr>
                <w:color w:val="000000"/>
                <w:spacing w:val="-7"/>
                <w:sz w:val="24"/>
              </w:rPr>
              <w:t>较长时间污染危险的区域应发出警告，并负责定期定点监</w:t>
            </w:r>
            <w:r>
              <w:rPr>
                <w:color w:val="000000"/>
                <w:sz w:val="24"/>
              </w:rPr>
              <w:t>测直至消除危害。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556" w:type="dxa"/>
            <w:vMerge w:val="restart"/>
            <w:tcBorders>
              <w:top w:val="single" w:color="auto" w:sz="4" w:space="0"/>
              <w:left w:val="single" w:color="auto" w:sz="4" w:space="0"/>
              <w:bottom w:val="single" w:color="auto" w:sz="4" w:space="0"/>
              <w:right w:val="single" w:color="auto" w:sz="4" w:space="0"/>
            </w:tcBorders>
            <w:noWrap w:val="0"/>
            <w:vAlign w:val="center"/>
          </w:tcPr>
          <w:p>
            <w:pPr>
              <w:pStyle w:val="12"/>
              <w:ind w:right="129"/>
              <w:jc w:val="center"/>
              <w:rPr>
                <w:rFonts w:ascii="仿宋" w:hAnsi="仿宋" w:eastAsia="仿宋" w:cs="仿宋"/>
                <w:color w:val="000000"/>
                <w:sz w:val="24"/>
                <w:szCs w:val="22"/>
                <w:lang w:val="zh-CN" w:eastAsia="zh-CN" w:bidi="zh-CN"/>
              </w:rPr>
            </w:pPr>
            <w:r>
              <w:rPr>
                <w:rFonts w:ascii="仿宋" w:hAnsi="仿宋" w:eastAsia="仿宋" w:cs="仿宋"/>
                <w:color w:val="000000"/>
                <w:sz w:val="24"/>
                <w:szCs w:val="22"/>
                <w:lang w:val="zh-CN" w:eastAsia="zh-CN" w:bidi="zh-CN"/>
              </w:rPr>
              <w:t>信息发布组</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ind w:right="129"/>
              <w:jc w:val="center"/>
              <w:rPr>
                <w:rFonts w:ascii="仿宋" w:hAnsi="仿宋" w:eastAsia="仿宋" w:cs="仿宋"/>
                <w:color w:val="000000"/>
                <w:sz w:val="24"/>
                <w:szCs w:val="22"/>
                <w:lang w:val="zh-CN" w:eastAsia="zh-CN" w:bidi="zh-CN"/>
              </w:rPr>
            </w:pPr>
            <w:r>
              <w:rPr>
                <w:rFonts w:ascii="仿宋" w:hAnsi="仿宋" w:eastAsia="仿宋" w:cs="仿宋"/>
                <w:color w:val="000000"/>
                <w:sz w:val="24"/>
                <w:szCs w:val="22"/>
                <w:lang w:val="zh-CN" w:eastAsia="zh-CN" w:bidi="zh-CN"/>
              </w:rPr>
              <w:t>牵头单位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before="1" w:line="289" w:lineRule="exact"/>
              <w:jc w:val="both"/>
              <w:rPr>
                <w:rFonts w:hint="default" w:eastAsia="仿宋"/>
                <w:color w:val="000000"/>
                <w:sz w:val="24"/>
                <w:lang w:val="en-US" w:eastAsia="zh-CN"/>
              </w:rPr>
            </w:pPr>
            <w:r>
              <w:rPr>
                <w:rFonts w:hint="eastAsia"/>
                <w:color w:val="000000"/>
                <w:sz w:val="24"/>
                <w:lang w:val="en-US" w:eastAsia="zh-CN"/>
              </w:rPr>
              <w:t>县委宣传部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000000"/>
                <w:sz w:val="24"/>
                <w:szCs w:val="22"/>
                <w:lang w:val="zh-CN" w:eastAsia="zh-CN" w:bidi="zh-CN"/>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spacing w:before="157"/>
              <w:ind w:right="129"/>
              <w:jc w:val="center"/>
              <w:rPr>
                <w:rFonts w:ascii="仿宋" w:hAnsi="仿宋" w:eastAsia="仿宋" w:cs="仿宋"/>
                <w:color w:val="000000"/>
                <w:sz w:val="24"/>
                <w:szCs w:val="22"/>
                <w:lang w:val="zh-CN" w:eastAsia="zh-CN" w:bidi="zh-CN"/>
              </w:rPr>
            </w:pPr>
            <w:r>
              <w:rPr>
                <w:rFonts w:ascii="仿宋" w:hAnsi="仿宋" w:eastAsia="仿宋" w:cs="仿宋"/>
                <w:color w:val="000000"/>
                <w:sz w:val="24"/>
                <w:szCs w:val="22"/>
                <w:lang w:val="zh-CN" w:eastAsia="zh-CN" w:bidi="zh-CN"/>
              </w:rPr>
              <w:t>成员单位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before="2"/>
              <w:jc w:val="both"/>
              <w:rPr>
                <w:color w:val="000000"/>
                <w:sz w:val="24"/>
              </w:rPr>
            </w:pPr>
            <w:r>
              <w:rPr>
                <w:rFonts w:hint="eastAsia"/>
                <w:color w:val="000000"/>
                <w:sz w:val="24"/>
                <w:lang w:eastAsia="zh-CN"/>
              </w:rPr>
              <w:t>县公安局</w:t>
            </w:r>
            <w:r>
              <w:rPr>
                <w:color w:val="000000"/>
                <w:sz w:val="24"/>
              </w:rPr>
              <w:t>、</w:t>
            </w:r>
            <w:r>
              <w:rPr>
                <w:rFonts w:hint="eastAsia"/>
                <w:color w:val="000000"/>
                <w:sz w:val="24"/>
                <w:lang w:eastAsia="zh-CN"/>
              </w:rPr>
              <w:t>县消防救援大队</w:t>
            </w:r>
            <w:r>
              <w:rPr>
                <w:color w:val="000000"/>
                <w:sz w:val="24"/>
              </w:rPr>
              <w:t>、</w:t>
            </w:r>
            <w:r>
              <w:rPr>
                <w:rFonts w:hint="eastAsia"/>
                <w:color w:val="000000"/>
                <w:sz w:val="24"/>
                <w:lang w:eastAsia="zh-CN"/>
              </w:rPr>
              <w:t>县应急管理局</w:t>
            </w:r>
            <w:r>
              <w:rPr>
                <w:color w:val="000000"/>
                <w:sz w:val="24"/>
              </w:rPr>
              <w:t>、</w:t>
            </w:r>
            <w:r>
              <w:rPr>
                <w:rFonts w:hint="eastAsia"/>
                <w:color w:val="000000"/>
                <w:sz w:val="24"/>
                <w:lang w:eastAsia="zh-CN"/>
              </w:rPr>
              <w:t>福州市永泰生态环境局</w:t>
            </w:r>
            <w:r>
              <w:rPr>
                <w:color w:val="000000"/>
                <w:sz w:val="24"/>
              </w:rPr>
              <w:t>、事发地</w:t>
            </w:r>
            <w:r>
              <w:rPr>
                <w:rFonts w:hint="eastAsia"/>
                <w:color w:val="000000"/>
                <w:sz w:val="24"/>
                <w:lang w:eastAsia="zh-CN"/>
              </w:rPr>
              <w:t>乡（镇）</w:t>
            </w:r>
            <w:r>
              <w:rPr>
                <w:color w:val="000000"/>
                <w:sz w:val="24"/>
              </w:rPr>
              <w:t>、事故发生单位等。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000000"/>
                <w:sz w:val="24"/>
                <w:szCs w:val="22"/>
                <w:lang w:val="zh-CN" w:eastAsia="zh-CN" w:bidi="zh-CN"/>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spacing w:before="193"/>
              <w:ind w:right="129"/>
              <w:jc w:val="center"/>
              <w:rPr>
                <w:rFonts w:ascii="仿宋" w:hAnsi="仿宋" w:eastAsia="仿宋" w:cs="仿宋"/>
                <w:color w:val="000000"/>
                <w:sz w:val="24"/>
                <w:szCs w:val="22"/>
                <w:lang w:val="zh-CN" w:eastAsia="zh-CN" w:bidi="zh-CN"/>
              </w:rPr>
            </w:pPr>
            <w:r>
              <w:rPr>
                <w:rFonts w:ascii="仿宋" w:hAnsi="仿宋" w:eastAsia="仿宋" w:cs="仿宋"/>
                <w:color w:val="000000"/>
                <w:sz w:val="24"/>
                <w:szCs w:val="22"/>
                <w:lang w:val="zh-CN" w:eastAsia="zh-CN" w:bidi="zh-CN"/>
              </w:rPr>
              <w:t>职责</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before="2" w:line="242" w:lineRule="auto"/>
              <w:ind w:right="98"/>
              <w:jc w:val="both"/>
              <w:rPr>
                <w:color w:val="000000"/>
                <w:sz w:val="24"/>
              </w:rPr>
            </w:pPr>
            <w:r>
              <w:rPr>
                <w:color w:val="000000"/>
                <w:spacing w:val="-8"/>
                <w:sz w:val="24"/>
              </w:rPr>
              <w:t>①负责组织发布事故处置救援信息，组织有关单位拟定新</w:t>
            </w:r>
            <w:r>
              <w:rPr>
                <w:color w:val="000000"/>
                <w:sz w:val="24"/>
              </w:rPr>
              <w:t>闻通稿，协调相关媒体开展报道；</w:t>
            </w:r>
          </w:p>
          <w:p>
            <w:pPr>
              <w:pStyle w:val="12"/>
              <w:spacing w:before="2"/>
              <w:jc w:val="both"/>
              <w:rPr>
                <w:color w:val="000000"/>
                <w:sz w:val="24"/>
              </w:rPr>
            </w:pPr>
            <w:r>
              <w:rPr>
                <w:color w:val="000000"/>
                <w:sz w:val="24"/>
              </w:rPr>
              <w:t>②密切关注相关舆情，积极回应社会关切，主动引导社会舆论。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56" w:type="dxa"/>
            <w:vMerge w:val="restart"/>
            <w:tcBorders>
              <w:top w:val="single" w:color="auto" w:sz="4" w:space="0"/>
              <w:left w:val="single" w:color="auto" w:sz="4" w:space="0"/>
              <w:bottom w:val="single" w:color="auto" w:sz="4" w:space="0"/>
              <w:right w:val="single" w:color="auto" w:sz="4" w:space="0"/>
            </w:tcBorders>
            <w:noWrap w:val="0"/>
            <w:vAlign w:val="center"/>
          </w:tcPr>
          <w:p>
            <w:pPr>
              <w:pStyle w:val="12"/>
              <w:jc w:val="center"/>
              <w:rPr>
                <w:color w:val="000000"/>
                <w:sz w:val="24"/>
              </w:rPr>
            </w:pPr>
            <w:r>
              <w:rPr>
                <w:color w:val="000000"/>
                <w:sz w:val="24"/>
              </w:rPr>
              <w:t>后勤保障组</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spacing w:before="2" w:line="289" w:lineRule="exact"/>
              <w:ind w:right="129"/>
              <w:jc w:val="center"/>
              <w:rPr>
                <w:color w:val="000000"/>
                <w:sz w:val="24"/>
              </w:rPr>
            </w:pPr>
            <w:r>
              <w:rPr>
                <w:color w:val="000000"/>
                <w:sz w:val="24"/>
              </w:rPr>
              <w:t>牵头单位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before="2" w:line="289" w:lineRule="exact"/>
              <w:jc w:val="both"/>
              <w:rPr>
                <w:rFonts w:hint="eastAsia" w:eastAsia="仿宋"/>
                <w:color w:val="000000"/>
                <w:sz w:val="24"/>
                <w:lang w:eastAsia="zh-CN"/>
              </w:rPr>
            </w:pPr>
            <w:r>
              <w:rPr>
                <w:color w:val="000000"/>
                <w:sz w:val="24"/>
              </w:rPr>
              <w:t>事发地</w:t>
            </w:r>
            <w:r>
              <w:rPr>
                <w:rFonts w:hint="eastAsia"/>
                <w:color w:val="000000"/>
                <w:sz w:val="24"/>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spacing w:before="157"/>
              <w:ind w:right="129"/>
              <w:jc w:val="center"/>
              <w:rPr>
                <w:color w:val="000000"/>
                <w:sz w:val="24"/>
              </w:rPr>
            </w:pPr>
            <w:r>
              <w:rPr>
                <w:color w:val="000000"/>
                <w:sz w:val="24"/>
              </w:rPr>
              <w:t>成员单位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before="1"/>
              <w:jc w:val="both"/>
              <w:rPr>
                <w:color w:val="000000"/>
                <w:sz w:val="24"/>
              </w:rPr>
            </w:pPr>
            <w:r>
              <w:rPr>
                <w:rFonts w:hint="eastAsia"/>
                <w:color w:val="000000"/>
                <w:sz w:val="24"/>
                <w:lang w:eastAsia="zh-CN"/>
              </w:rPr>
              <w:t>县应急管理局</w:t>
            </w:r>
            <w:r>
              <w:rPr>
                <w:color w:val="000000"/>
                <w:sz w:val="24"/>
              </w:rPr>
              <w:t>、交通运输局、</w:t>
            </w:r>
            <w:r>
              <w:rPr>
                <w:rFonts w:hint="eastAsia"/>
                <w:color w:val="000000"/>
                <w:sz w:val="24"/>
                <w:lang w:eastAsia="zh-CN"/>
              </w:rPr>
              <w:t>永泰县供电公司</w:t>
            </w:r>
            <w:r>
              <w:rPr>
                <w:color w:val="000000"/>
                <w:sz w:val="24"/>
              </w:rPr>
              <w:t>、事故发生单位等。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ind w:right="129"/>
              <w:jc w:val="center"/>
              <w:rPr>
                <w:color w:val="000000"/>
                <w:sz w:val="24"/>
              </w:rPr>
            </w:pPr>
            <w:r>
              <w:rPr>
                <w:color w:val="000000"/>
                <w:sz w:val="24"/>
              </w:rPr>
              <w:t>职责</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before="1" w:line="242" w:lineRule="auto"/>
              <w:ind w:right="98"/>
              <w:jc w:val="both"/>
              <w:rPr>
                <w:color w:val="000000"/>
                <w:sz w:val="24"/>
              </w:rPr>
            </w:pPr>
            <w:r>
              <w:rPr>
                <w:color w:val="000000"/>
                <w:spacing w:val="-7"/>
                <w:sz w:val="24"/>
              </w:rPr>
              <w:t>①统一对本</w:t>
            </w:r>
            <w:r>
              <w:rPr>
                <w:rFonts w:hint="eastAsia"/>
                <w:color w:val="000000"/>
                <w:spacing w:val="-7"/>
                <w:sz w:val="24"/>
                <w:lang w:val="en-US" w:eastAsia="zh-CN"/>
              </w:rPr>
              <w:t>县</w:t>
            </w:r>
            <w:r>
              <w:rPr>
                <w:color w:val="000000"/>
                <w:spacing w:val="-7"/>
                <w:sz w:val="24"/>
              </w:rPr>
              <w:t>应急救援物资供应单位、设备、器具的指挥</w:t>
            </w:r>
            <w:r>
              <w:rPr>
                <w:color w:val="000000"/>
                <w:sz w:val="24"/>
              </w:rPr>
              <w:t>调度，并做好重点物资的储备；</w:t>
            </w:r>
          </w:p>
          <w:p>
            <w:pPr>
              <w:pStyle w:val="12"/>
              <w:spacing w:before="1" w:line="242" w:lineRule="auto"/>
              <w:ind w:right="98"/>
              <w:jc w:val="both"/>
              <w:rPr>
                <w:color w:val="000000"/>
                <w:sz w:val="24"/>
              </w:rPr>
            </w:pPr>
            <w:r>
              <w:rPr>
                <w:color w:val="000000"/>
                <w:spacing w:val="-8"/>
                <w:sz w:val="24"/>
              </w:rPr>
              <w:t>②负责应急救援过程中的物资保障、应急救援物资的调拨</w:t>
            </w:r>
            <w:r>
              <w:rPr>
                <w:color w:val="000000"/>
                <w:sz w:val="24"/>
              </w:rPr>
              <w:t>和配送、交通工具的紧急调用；</w:t>
            </w:r>
          </w:p>
          <w:p>
            <w:pPr>
              <w:pStyle w:val="12"/>
              <w:spacing w:before="2"/>
              <w:jc w:val="both"/>
              <w:rPr>
                <w:color w:val="000000"/>
                <w:sz w:val="24"/>
              </w:rPr>
            </w:pPr>
            <w:r>
              <w:rPr>
                <w:color w:val="000000"/>
                <w:sz w:val="24"/>
              </w:rPr>
              <w:t>③运送救援人员、受灾人员、救援物资、设备设施等；</w:t>
            </w:r>
          </w:p>
          <w:p>
            <w:pPr>
              <w:pStyle w:val="12"/>
              <w:spacing w:before="3"/>
              <w:jc w:val="both"/>
              <w:rPr>
                <w:color w:val="000000"/>
                <w:sz w:val="24"/>
              </w:rPr>
            </w:pPr>
            <w:r>
              <w:rPr>
                <w:color w:val="000000"/>
                <w:sz w:val="24"/>
              </w:rPr>
              <w:t>④必要时向上级或有关单位提出支援请求，保障事故应急救援物资的供应。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56" w:type="dxa"/>
            <w:vMerge w:val="restart"/>
            <w:tcBorders>
              <w:top w:val="single" w:color="auto" w:sz="4" w:space="0"/>
              <w:left w:val="single" w:color="auto" w:sz="4" w:space="0"/>
              <w:bottom w:val="single" w:color="auto" w:sz="4" w:space="0"/>
              <w:right w:val="single" w:color="auto" w:sz="4" w:space="0"/>
            </w:tcBorders>
            <w:noWrap w:val="0"/>
            <w:vAlign w:val="center"/>
          </w:tcPr>
          <w:p>
            <w:pPr>
              <w:pStyle w:val="12"/>
              <w:spacing w:before="1"/>
              <w:jc w:val="center"/>
              <w:rPr>
                <w:color w:val="000000"/>
                <w:sz w:val="24"/>
              </w:rPr>
            </w:pPr>
            <w:r>
              <w:rPr>
                <w:color w:val="000000"/>
                <w:sz w:val="24"/>
              </w:rPr>
              <w:t>专家组</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spacing w:before="1" w:line="291" w:lineRule="exact"/>
              <w:ind w:right="129"/>
              <w:jc w:val="center"/>
              <w:rPr>
                <w:color w:val="000000"/>
                <w:sz w:val="24"/>
              </w:rPr>
            </w:pPr>
            <w:r>
              <w:rPr>
                <w:color w:val="000000"/>
                <w:sz w:val="24"/>
              </w:rPr>
              <w:t>牵头单位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before="1" w:line="291" w:lineRule="exact"/>
              <w:jc w:val="both"/>
              <w:rPr>
                <w:rFonts w:hint="eastAsia" w:eastAsia="仿宋"/>
                <w:color w:val="000000"/>
                <w:sz w:val="24"/>
                <w:lang w:eastAsia="zh-CN"/>
              </w:rPr>
            </w:pPr>
            <w:r>
              <w:rPr>
                <w:rFonts w:hint="eastAsia"/>
                <w:color w:val="000000"/>
                <w:sz w:val="24"/>
                <w:lang w:eastAsia="zh-CN"/>
              </w:rPr>
              <w:t>县应急管理局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spacing w:before="1" w:line="289" w:lineRule="exact"/>
              <w:ind w:right="129"/>
              <w:jc w:val="center"/>
              <w:rPr>
                <w:color w:val="000000"/>
                <w:sz w:val="24"/>
              </w:rPr>
            </w:pPr>
            <w:r>
              <w:rPr>
                <w:color w:val="000000"/>
                <w:sz w:val="24"/>
              </w:rPr>
              <w:t>成员单位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before="1" w:line="289" w:lineRule="exact"/>
              <w:jc w:val="both"/>
              <w:rPr>
                <w:color w:val="000000"/>
                <w:sz w:val="24"/>
              </w:rPr>
            </w:pPr>
            <w:r>
              <w:rPr>
                <w:color w:val="000000"/>
                <w:sz w:val="24"/>
              </w:rPr>
              <w:t>相关专业技术知识的专业人员。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2"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spacing w:before="193"/>
              <w:ind w:right="129"/>
              <w:jc w:val="center"/>
              <w:rPr>
                <w:color w:val="000000"/>
                <w:sz w:val="24"/>
              </w:rPr>
            </w:pPr>
            <w:r>
              <w:rPr>
                <w:color w:val="000000"/>
                <w:sz w:val="24"/>
              </w:rPr>
              <w:t>职责</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before="2" w:line="242" w:lineRule="auto"/>
              <w:ind w:right="2"/>
              <w:jc w:val="both"/>
              <w:rPr>
                <w:color w:val="000000"/>
                <w:sz w:val="24"/>
              </w:rPr>
            </w:pPr>
            <w:r>
              <w:rPr>
                <w:color w:val="000000"/>
                <w:spacing w:val="-10"/>
                <w:sz w:val="24"/>
              </w:rPr>
              <w:t>①评估事故发展态势，为现场应急响应做出科学合理的有</w:t>
            </w:r>
            <w:r>
              <w:rPr>
                <w:color w:val="000000"/>
                <w:spacing w:val="-11"/>
                <w:sz w:val="24"/>
              </w:rPr>
              <w:t>效支持，给指挥部进行事故救援工作提供科学决策依据；</w:t>
            </w:r>
          </w:p>
          <w:p>
            <w:pPr>
              <w:pStyle w:val="12"/>
              <w:spacing w:before="2"/>
              <w:jc w:val="both"/>
              <w:rPr>
                <w:color w:val="000000"/>
                <w:sz w:val="24"/>
              </w:rPr>
            </w:pPr>
            <w:r>
              <w:rPr>
                <w:color w:val="000000"/>
                <w:sz w:val="24"/>
              </w:rPr>
              <w:t>②为危险化学品事故应急救援工作提供技术处置方案；</w:t>
            </w:r>
          </w:p>
          <w:p>
            <w:pPr>
              <w:pStyle w:val="12"/>
              <w:spacing w:before="3" w:line="289" w:lineRule="exact"/>
              <w:jc w:val="both"/>
              <w:rPr>
                <w:color w:val="000000"/>
                <w:sz w:val="24"/>
              </w:rPr>
            </w:pPr>
            <w:r>
              <w:rPr>
                <w:color w:val="000000"/>
                <w:sz w:val="24"/>
              </w:rPr>
              <w:t>③对事故后续处置提供意见和建议。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56" w:type="dxa"/>
            <w:vMerge w:val="restart"/>
            <w:tcBorders>
              <w:top w:val="single" w:color="auto" w:sz="4" w:space="0"/>
              <w:left w:val="single" w:color="auto" w:sz="4" w:space="0"/>
              <w:right w:val="single" w:color="auto" w:sz="4" w:space="0"/>
            </w:tcBorders>
            <w:noWrap w:val="0"/>
            <w:vAlign w:val="center"/>
          </w:tcPr>
          <w:p>
            <w:pPr>
              <w:pStyle w:val="12"/>
              <w:spacing w:before="2" w:line="289" w:lineRule="exact"/>
              <w:ind w:left="157" w:right="149"/>
              <w:jc w:val="center"/>
              <w:rPr>
                <w:color w:val="000000"/>
                <w:sz w:val="24"/>
              </w:rPr>
            </w:pPr>
            <w:r>
              <w:rPr>
                <w:color w:val="000000"/>
                <w:sz w:val="24"/>
              </w:rPr>
              <w:t>善后处置组</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spacing w:before="2" w:line="289" w:lineRule="exact"/>
              <w:ind w:right="129"/>
              <w:jc w:val="center"/>
              <w:rPr>
                <w:color w:val="000000"/>
                <w:sz w:val="24"/>
              </w:rPr>
            </w:pPr>
            <w:r>
              <w:rPr>
                <w:color w:val="000000"/>
                <w:sz w:val="24"/>
              </w:rPr>
              <w:t>牵头单位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before="1" w:line="291" w:lineRule="exact"/>
              <w:ind w:right="0" w:rightChars="0"/>
              <w:jc w:val="both"/>
              <w:rPr>
                <w:color w:val="000000"/>
                <w:sz w:val="24"/>
              </w:rPr>
            </w:pPr>
            <w:r>
              <w:rPr>
                <w:rFonts w:hint="eastAsia"/>
                <w:color w:val="000000"/>
                <w:sz w:val="24"/>
                <w:lang w:val="en-US" w:eastAsia="zh-CN"/>
              </w:rPr>
              <w:t>县应急管理局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1556" w:type="dxa"/>
            <w:vMerge w:val="continue"/>
            <w:tcBorders>
              <w:left w:val="single" w:color="auto" w:sz="4" w:space="0"/>
              <w:right w:val="single" w:color="auto" w:sz="4" w:space="0"/>
            </w:tcBorders>
            <w:noWrap w:val="0"/>
            <w:vAlign w:val="center"/>
          </w:tcPr>
          <w:p>
            <w:pPr>
              <w:pStyle w:val="12"/>
              <w:jc w:val="center"/>
              <w:rPr>
                <w:rFonts w:ascii="Times New Roman"/>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spacing w:before="1"/>
              <w:ind w:right="129"/>
              <w:jc w:val="center"/>
              <w:rPr>
                <w:color w:val="000000"/>
                <w:sz w:val="24"/>
              </w:rPr>
            </w:pPr>
            <w:r>
              <w:rPr>
                <w:color w:val="000000"/>
                <w:sz w:val="24"/>
              </w:rPr>
              <w:t>成员单位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before="2"/>
              <w:ind w:right="0" w:rightChars="0"/>
              <w:jc w:val="both"/>
              <w:rPr>
                <w:color w:val="000000"/>
                <w:sz w:val="24"/>
              </w:rPr>
            </w:pPr>
            <w:r>
              <w:rPr>
                <w:rFonts w:hint="eastAsia"/>
                <w:color w:val="000000"/>
                <w:spacing w:val="-10"/>
                <w:sz w:val="24"/>
                <w:lang w:val="en-US" w:eastAsia="zh-CN"/>
              </w:rPr>
              <w:t>县</w:t>
            </w:r>
            <w:r>
              <w:rPr>
                <w:color w:val="000000"/>
                <w:spacing w:val="-10"/>
                <w:sz w:val="24"/>
              </w:rPr>
              <w:t>财政局、</w:t>
            </w:r>
            <w:r>
              <w:rPr>
                <w:rFonts w:hint="eastAsia"/>
                <w:color w:val="000000"/>
                <w:spacing w:val="-10"/>
                <w:sz w:val="24"/>
                <w:lang w:val="en-US" w:eastAsia="zh-CN"/>
              </w:rPr>
              <w:t>福州市永泰生态环境局</w:t>
            </w:r>
            <w:r>
              <w:rPr>
                <w:color w:val="000000"/>
                <w:spacing w:val="-10"/>
                <w:sz w:val="24"/>
              </w:rPr>
              <w:t>、县消防救援大队、</w:t>
            </w:r>
            <w:r>
              <w:rPr>
                <w:rFonts w:hint="eastAsia"/>
                <w:color w:val="000000"/>
                <w:spacing w:val="-10"/>
                <w:sz w:val="24"/>
                <w:lang w:val="en-US" w:eastAsia="zh-CN"/>
              </w:rPr>
              <w:t>县</w:t>
            </w:r>
            <w:r>
              <w:rPr>
                <w:color w:val="000000"/>
                <w:spacing w:val="-10"/>
                <w:sz w:val="24"/>
              </w:rPr>
              <w:t>供电</w:t>
            </w:r>
            <w:r>
              <w:rPr>
                <w:rFonts w:hint="eastAsia"/>
                <w:color w:val="000000"/>
                <w:spacing w:val="-10"/>
                <w:sz w:val="24"/>
                <w:lang w:val="en-US" w:eastAsia="zh-CN"/>
              </w:rPr>
              <w:t>公司</w:t>
            </w:r>
            <w:r>
              <w:rPr>
                <w:color w:val="000000"/>
                <w:spacing w:val="-10"/>
                <w:sz w:val="24"/>
              </w:rPr>
              <w:t>、</w:t>
            </w:r>
            <w:r>
              <w:rPr>
                <w:rFonts w:hint="eastAsia"/>
                <w:color w:val="000000"/>
                <w:spacing w:val="-10"/>
                <w:sz w:val="24"/>
                <w:lang w:val="en-US" w:eastAsia="zh-CN"/>
              </w:rPr>
              <w:t>县卫生健康局</w:t>
            </w:r>
            <w:r>
              <w:rPr>
                <w:color w:val="000000"/>
                <w:spacing w:val="-10"/>
                <w:sz w:val="24"/>
              </w:rPr>
              <w:t>、</w:t>
            </w:r>
            <w:r>
              <w:rPr>
                <w:rFonts w:hint="eastAsia"/>
                <w:color w:val="000000"/>
                <w:spacing w:val="-10"/>
                <w:sz w:val="24"/>
                <w:lang w:val="en-US" w:eastAsia="zh-CN"/>
              </w:rPr>
              <w:t>县民政</w:t>
            </w:r>
            <w:r>
              <w:rPr>
                <w:color w:val="000000"/>
                <w:spacing w:val="-10"/>
                <w:sz w:val="24"/>
              </w:rPr>
              <w:t>局、事发地</w:t>
            </w:r>
            <w:r>
              <w:rPr>
                <w:rFonts w:hint="eastAsia"/>
                <w:color w:val="000000"/>
                <w:spacing w:val="-10"/>
                <w:sz w:val="24"/>
                <w:lang w:eastAsia="zh-CN"/>
              </w:rPr>
              <w:t>乡（镇）</w:t>
            </w:r>
            <w:r>
              <w:rPr>
                <w:color w:val="000000"/>
                <w:spacing w:val="-10"/>
                <w:sz w:val="24"/>
              </w:rPr>
              <w:t>、事故发生单位等。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trPr>
        <w:tc>
          <w:tcPr>
            <w:tcW w:w="1556" w:type="dxa"/>
            <w:vMerge w:val="continue"/>
            <w:tcBorders>
              <w:left w:val="single" w:color="auto" w:sz="4" w:space="0"/>
              <w:bottom w:val="single" w:color="auto" w:sz="4" w:space="0"/>
              <w:right w:val="single" w:color="auto" w:sz="4" w:space="0"/>
            </w:tcBorders>
            <w:noWrap w:val="0"/>
            <w:vAlign w:val="center"/>
          </w:tcPr>
          <w:p>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2"/>
              <w:spacing w:before="192"/>
              <w:ind w:right="129"/>
              <w:jc w:val="center"/>
              <w:rPr>
                <w:color w:val="000000"/>
                <w:sz w:val="24"/>
              </w:rPr>
            </w:pPr>
            <w:r>
              <w:rPr>
                <w:color w:val="000000"/>
                <w:sz w:val="24"/>
              </w:rPr>
              <w:t>职责</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2"/>
              <w:spacing w:before="1"/>
              <w:jc w:val="both"/>
              <w:rPr>
                <w:color w:val="000000"/>
                <w:sz w:val="24"/>
              </w:rPr>
            </w:pPr>
            <w:r>
              <w:rPr>
                <w:color w:val="000000"/>
                <w:sz w:val="24"/>
              </w:rPr>
              <w:t>①负责对伤亡人员家属的接待、安抚和慰问工作；</w:t>
            </w:r>
          </w:p>
          <w:p>
            <w:pPr>
              <w:pStyle w:val="12"/>
              <w:spacing w:before="4"/>
              <w:jc w:val="both"/>
              <w:rPr>
                <w:color w:val="000000"/>
                <w:sz w:val="24"/>
              </w:rPr>
            </w:pPr>
            <w:r>
              <w:rPr>
                <w:color w:val="000000"/>
                <w:sz w:val="24"/>
              </w:rPr>
              <w:t>②处理伤亡人员善后赔偿事宜；</w:t>
            </w:r>
          </w:p>
          <w:p>
            <w:pPr>
              <w:pStyle w:val="12"/>
              <w:spacing w:before="4"/>
              <w:jc w:val="both"/>
              <w:rPr>
                <w:color w:val="000000"/>
                <w:sz w:val="24"/>
              </w:rPr>
            </w:pPr>
            <w:r>
              <w:rPr>
                <w:color w:val="000000"/>
                <w:sz w:val="24"/>
              </w:rPr>
              <w:t>③做好群众的思想稳定工作；</w:t>
            </w:r>
          </w:p>
          <w:p>
            <w:pPr>
              <w:pStyle w:val="12"/>
              <w:spacing w:before="3" w:line="291" w:lineRule="exact"/>
              <w:jc w:val="both"/>
              <w:rPr>
                <w:color w:val="000000"/>
                <w:sz w:val="24"/>
              </w:rPr>
            </w:pPr>
            <w:r>
              <w:rPr>
                <w:color w:val="000000"/>
                <w:sz w:val="24"/>
              </w:rPr>
              <w:t>④维护社会安定，消除不稳定因素。</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方正黑体简体" w:hAnsi="方正黑体简体" w:eastAsia="方正黑体简体" w:cs="方正黑体简体"/>
          <w:sz w:val="32"/>
          <w:szCs w:val="32"/>
          <w:lang w:eastAsia="zh-CN"/>
        </w:rPr>
      </w:pPr>
      <w:bookmarkStart w:id="103" w:name="_Toc14918"/>
      <w:r>
        <w:rPr>
          <w:rFonts w:hint="eastAsia" w:ascii="方正黑体简体" w:hAnsi="方正黑体简体" w:eastAsia="方正黑体简体" w:cs="方正黑体简体"/>
          <w:sz w:val="32"/>
          <w:szCs w:val="32"/>
          <w:lang w:eastAsia="zh-CN"/>
        </w:rPr>
        <w:t>3. 监测、预警和信息报告</w:t>
      </w:r>
      <w:bookmarkEnd w:id="10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04" w:name="_Toc4463"/>
      <w:r>
        <w:rPr>
          <w:rFonts w:hint="eastAsia" w:ascii="楷体_GB2312" w:hAnsi="楷体_GB2312" w:eastAsia="楷体_GB2312" w:cs="楷体_GB2312"/>
          <w:sz w:val="32"/>
          <w:szCs w:val="32"/>
          <w:lang w:eastAsia="zh-CN"/>
        </w:rPr>
        <w:t>3.1监测</w:t>
      </w:r>
      <w:bookmarkEnd w:id="10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应急管理部门应建立健全烟花爆竹仓库信息数据，督促企业完善监测管理网络，对危险源进行监测。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05" w:name="_Toc32086"/>
      <w:r>
        <w:rPr>
          <w:rFonts w:hint="eastAsia" w:ascii="楷体_GB2312" w:hAnsi="楷体_GB2312" w:eastAsia="楷体_GB2312" w:cs="楷体_GB2312"/>
          <w:sz w:val="32"/>
          <w:szCs w:val="32"/>
          <w:lang w:eastAsia="zh-CN"/>
        </w:rPr>
        <w:t>3.2预警</w:t>
      </w:r>
      <w:bookmarkEnd w:id="10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3.2.1、预警分级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按照紧急程度、发展势态和可能造成的危害程度，预警级别可分为Ⅰ级（特别</w:t>
      </w:r>
      <w:r>
        <w:rPr>
          <w:rFonts w:hint="eastAsia" w:cs="仿宋_GB2312"/>
          <w:sz w:val="32"/>
          <w:szCs w:val="32"/>
          <w:lang w:val="en-US" w:eastAsia="zh-CN"/>
        </w:rPr>
        <w:t>严重</w:t>
      </w:r>
      <w:r>
        <w:rPr>
          <w:rFonts w:hint="eastAsia" w:ascii="仿宋_GB2312" w:hAnsi="仿宋_GB2312" w:eastAsia="仿宋_GB2312" w:cs="仿宋_GB2312"/>
          <w:sz w:val="32"/>
          <w:szCs w:val="32"/>
          <w:lang w:eastAsia="zh-CN"/>
        </w:rPr>
        <w:t>）、Ⅱ级（</w:t>
      </w:r>
      <w:r>
        <w:rPr>
          <w:rFonts w:hint="eastAsia" w:cs="仿宋_GB2312"/>
          <w:sz w:val="32"/>
          <w:szCs w:val="32"/>
          <w:lang w:val="en-US" w:eastAsia="zh-CN"/>
        </w:rPr>
        <w:t>严重</w:t>
      </w:r>
      <w:r>
        <w:rPr>
          <w:rFonts w:hint="eastAsia" w:ascii="仿宋_GB2312" w:hAnsi="仿宋_GB2312" w:eastAsia="仿宋_GB2312" w:cs="仿宋_GB2312"/>
          <w:sz w:val="32"/>
          <w:szCs w:val="32"/>
          <w:lang w:eastAsia="zh-CN"/>
        </w:rPr>
        <w:t>）、Ⅲ级（</w:t>
      </w:r>
      <w:r>
        <w:rPr>
          <w:rFonts w:hint="eastAsia" w:cs="仿宋_GB2312"/>
          <w:sz w:val="32"/>
          <w:szCs w:val="32"/>
          <w:lang w:val="en-US" w:eastAsia="zh-CN"/>
        </w:rPr>
        <w:t>较重</w:t>
      </w:r>
      <w:r>
        <w:rPr>
          <w:rFonts w:hint="eastAsia" w:ascii="仿宋_GB2312" w:hAnsi="仿宋_GB2312" w:eastAsia="仿宋_GB2312" w:cs="仿宋_GB2312"/>
          <w:sz w:val="32"/>
          <w:szCs w:val="32"/>
          <w:lang w:eastAsia="zh-CN"/>
        </w:rPr>
        <w:t>）和Ⅳ级（一般），依次用红色、橙色、黄色和蓝色表示。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3.2.2预警发布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指挥部办公室负责接收、处置预警信息，认为达到</w:t>
      </w:r>
      <w:r>
        <w:rPr>
          <w:rFonts w:hint="eastAsia" w:cs="仿宋_GB2312"/>
          <w:sz w:val="32"/>
          <w:szCs w:val="32"/>
          <w:lang w:val="en-US" w:eastAsia="zh-CN"/>
        </w:rPr>
        <w:t>蓝</w:t>
      </w:r>
      <w:r>
        <w:rPr>
          <w:rFonts w:hint="eastAsia" w:ascii="仿宋_GB2312" w:hAnsi="仿宋_GB2312" w:eastAsia="仿宋_GB2312" w:cs="仿宋_GB2312"/>
          <w:sz w:val="32"/>
          <w:szCs w:val="32"/>
          <w:lang w:eastAsia="zh-CN"/>
        </w:rPr>
        <w:t>色预警的，报</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指挥部批准，按规定程序发布。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3.2.3预警行动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1、接到预警信息的部门迅速组织现场核查和监测，落实应急物资、应急救援队伍待命，做好群众疏散等各项应急准备。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2、属地</w:t>
      </w:r>
      <w:r>
        <w:rPr>
          <w:rFonts w:hint="eastAsia" w:cs="仿宋_GB2312"/>
          <w:sz w:val="32"/>
          <w:szCs w:val="32"/>
          <w:lang w:val="en-US" w:eastAsia="zh-CN"/>
        </w:rPr>
        <w:t>乡（镇）人民</w:t>
      </w:r>
      <w:r>
        <w:rPr>
          <w:rFonts w:hint="eastAsia" w:ascii="仿宋_GB2312" w:hAnsi="仿宋_GB2312" w:eastAsia="仿宋_GB2312" w:cs="仿宋_GB2312"/>
          <w:sz w:val="32"/>
          <w:szCs w:val="32"/>
          <w:lang w:eastAsia="zh-CN"/>
        </w:rPr>
        <w:t>政府组织相关</w:t>
      </w:r>
      <w:r>
        <w:rPr>
          <w:rFonts w:hint="eastAsia" w:cs="仿宋_GB2312"/>
          <w:sz w:val="32"/>
          <w:szCs w:val="32"/>
          <w:lang w:val="en-US" w:eastAsia="zh-CN"/>
        </w:rPr>
        <w:t>单位</w:t>
      </w:r>
      <w:r>
        <w:rPr>
          <w:rFonts w:hint="eastAsia" w:ascii="仿宋_GB2312" w:hAnsi="仿宋_GB2312" w:eastAsia="仿宋_GB2312" w:cs="仿宋_GB2312"/>
          <w:sz w:val="32"/>
          <w:szCs w:val="32"/>
          <w:lang w:eastAsia="zh-CN"/>
        </w:rPr>
        <w:t>对遭受或可能遭受烟花爆竹事故影响的区域的群众发出警报和紧急公告。如有必要，应立即组织疏散。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3.2.4预警的解除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按国家、省、市</w:t>
      </w:r>
      <w:r>
        <w:rPr>
          <w:rFonts w:hint="eastAsia" w:cs="仿宋_GB2312"/>
          <w:sz w:val="32"/>
          <w:szCs w:val="32"/>
          <w:lang w:eastAsia="zh-CN"/>
        </w:rPr>
        <w:t>、</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应急管理的有关规定执行。由</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指挥部办公室提请，经</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指挥长批准后进入解除程序。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06" w:name="_Toc562"/>
      <w:r>
        <w:rPr>
          <w:rFonts w:hint="eastAsia" w:ascii="楷体_GB2312" w:hAnsi="楷体_GB2312" w:eastAsia="楷体_GB2312" w:cs="楷体_GB2312"/>
          <w:sz w:val="32"/>
          <w:szCs w:val="32"/>
          <w:lang w:eastAsia="zh-CN"/>
        </w:rPr>
        <w:t>3.3 信息报告</w:t>
      </w:r>
      <w:bookmarkEnd w:id="10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3.3.1速报时间。在15分钟内向上一级政府、应急管理部门和主管部门报告。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3.3.2速报内容。事故发生单位概况；事故发生的时间、地点以及事故现场情况；事故的简要经过；事故已经造成或可能造成的伤亡人数（包括下落不明的人数）和初步估计的直接经济损失；已经采取的措施；其他应当报告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发生确定的</w:t>
      </w:r>
      <w:r>
        <w:rPr>
          <w:rFonts w:hint="eastAsia" w:cs="仿宋_GB2312"/>
          <w:sz w:val="32"/>
          <w:szCs w:val="32"/>
          <w:lang w:val="en-US" w:eastAsia="zh-CN"/>
        </w:rPr>
        <w:t>一般</w:t>
      </w:r>
      <w:r>
        <w:rPr>
          <w:rFonts w:hint="eastAsia" w:ascii="仿宋_GB2312" w:hAnsi="仿宋_GB2312" w:eastAsia="仿宋_GB2312" w:cs="仿宋_GB2312"/>
          <w:sz w:val="32"/>
          <w:szCs w:val="32"/>
          <w:lang w:eastAsia="zh-CN"/>
        </w:rPr>
        <w:t>以上</w:t>
      </w:r>
      <w:r>
        <w:rPr>
          <w:rFonts w:hint="eastAsia" w:cs="仿宋_GB2312"/>
          <w:sz w:val="32"/>
          <w:szCs w:val="32"/>
          <w:lang w:val="en-US" w:eastAsia="zh-CN"/>
        </w:rPr>
        <w:t>烟花爆竹事故</w:t>
      </w:r>
      <w:r>
        <w:rPr>
          <w:rFonts w:hint="eastAsia" w:ascii="仿宋_GB2312" w:hAnsi="仿宋_GB2312" w:eastAsia="仿宋_GB2312" w:cs="仿宋_GB2312"/>
          <w:sz w:val="32"/>
          <w:szCs w:val="32"/>
          <w:lang w:eastAsia="zh-CN"/>
        </w:rPr>
        <w:t>突发事件，可先报事故类型、时间、地点和简况；发生死伤人数和灾情情况不明的突发事件，可先报突发事件时间、地点、类型，有关情况待核实后再作续报。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方正黑体简体" w:hAnsi="方正黑体简体" w:eastAsia="方正黑体简体" w:cs="方正黑体简体"/>
          <w:sz w:val="32"/>
          <w:szCs w:val="32"/>
          <w:lang w:eastAsia="zh-CN"/>
        </w:rPr>
      </w:pPr>
      <w:bookmarkStart w:id="107" w:name="_Toc984"/>
      <w:r>
        <w:rPr>
          <w:rFonts w:hint="eastAsia" w:ascii="方正黑体简体" w:hAnsi="方正黑体简体" w:eastAsia="方正黑体简体" w:cs="方正黑体简体"/>
          <w:sz w:val="32"/>
          <w:szCs w:val="32"/>
          <w:lang w:eastAsia="zh-CN"/>
        </w:rPr>
        <w:t>4. 信息接报与通知响应</w:t>
      </w:r>
      <w:bookmarkEnd w:id="10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08" w:name="_Toc20582"/>
      <w:r>
        <w:rPr>
          <w:rFonts w:hint="eastAsia" w:ascii="楷体_GB2312" w:hAnsi="楷体_GB2312" w:eastAsia="楷体_GB2312" w:cs="楷体_GB2312"/>
          <w:sz w:val="32"/>
          <w:szCs w:val="32"/>
          <w:lang w:eastAsia="zh-CN"/>
        </w:rPr>
        <w:t>4.1接警、处警</w:t>
      </w:r>
      <w:bookmarkEnd w:id="10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烟花爆竹生产安全事故发生后，发现事故当事人应立即向拨打当地“119”“120”“110”任一电话号码报警。事故发生单位应立即向</w:t>
      </w:r>
      <w:r>
        <w:rPr>
          <w:rFonts w:hint="eastAsia" w:cs="仿宋_GB2312"/>
          <w:sz w:val="32"/>
          <w:szCs w:val="32"/>
          <w:lang w:val="en-US" w:eastAsia="zh-CN"/>
        </w:rPr>
        <w:t>属地乡（镇）人民政府、县</w:t>
      </w:r>
      <w:r>
        <w:rPr>
          <w:rFonts w:hint="eastAsia" w:ascii="仿宋_GB2312" w:hAnsi="仿宋_GB2312" w:eastAsia="仿宋_GB2312" w:cs="仿宋_GB2312"/>
          <w:sz w:val="32"/>
          <w:szCs w:val="32"/>
          <w:lang w:eastAsia="zh-CN"/>
        </w:rPr>
        <w:t>应急管理部门、行业主管部门</w:t>
      </w:r>
      <w:r>
        <w:rPr>
          <w:rFonts w:hint="eastAsia" w:cs="仿宋_GB2312"/>
          <w:sz w:val="32"/>
          <w:szCs w:val="32"/>
          <w:lang w:val="en-US" w:eastAsia="zh-CN"/>
        </w:rPr>
        <w:t>等</w:t>
      </w:r>
      <w:r>
        <w:rPr>
          <w:rFonts w:hint="eastAsia" w:ascii="仿宋_GB2312" w:hAnsi="仿宋_GB2312" w:eastAsia="仿宋_GB2312" w:cs="仿宋_GB2312"/>
          <w:sz w:val="32"/>
          <w:szCs w:val="32"/>
          <w:lang w:eastAsia="zh-CN"/>
        </w:rPr>
        <w:t>报告事故情况。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cs="仿宋_GB2312"/>
          <w:sz w:val="32"/>
          <w:szCs w:val="32"/>
          <w:lang w:val="en-US" w:eastAsia="zh-CN"/>
        </w:rPr>
        <w:t>县指挥部</w:t>
      </w:r>
      <w:r>
        <w:rPr>
          <w:rFonts w:hint="eastAsia" w:ascii="仿宋_GB2312" w:hAnsi="仿宋_GB2312" w:eastAsia="仿宋_GB2312" w:cs="仿宋_GB2312"/>
          <w:sz w:val="32"/>
          <w:szCs w:val="32"/>
          <w:lang w:eastAsia="zh-CN"/>
        </w:rPr>
        <w:t>在接到烟花爆竹生产安全事故报警后，应将事故信息及时上报</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人民政府总值班室，同时与</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有关部门相互通报；烟花爆竹事故发生地的</w:t>
      </w:r>
      <w:r>
        <w:rPr>
          <w:rFonts w:hint="eastAsia" w:cs="仿宋_GB2312"/>
          <w:sz w:val="32"/>
          <w:szCs w:val="32"/>
          <w:lang w:val="en-US" w:eastAsia="zh-CN"/>
        </w:rPr>
        <w:t>属地乡（镇）人民政府</w:t>
      </w:r>
      <w:r>
        <w:rPr>
          <w:rFonts w:hint="eastAsia" w:ascii="仿宋_GB2312" w:hAnsi="仿宋_GB2312" w:eastAsia="仿宋_GB2312" w:cs="仿宋_GB2312"/>
          <w:sz w:val="32"/>
          <w:szCs w:val="32"/>
          <w:lang w:eastAsia="zh-CN"/>
        </w:rPr>
        <w:t>接到事故报告后，应及时将信息上报</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人民政府总值班室，同时通报</w:t>
      </w:r>
      <w:r>
        <w:rPr>
          <w:rFonts w:hint="eastAsia" w:cs="仿宋_GB2312"/>
          <w:sz w:val="32"/>
          <w:szCs w:val="32"/>
          <w:lang w:val="en-US" w:eastAsia="zh-CN"/>
        </w:rPr>
        <w:t>县指挥部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事发地接警机构接警后，按既定处置流程发起联动，先行通知“110”“119”“120”“122”出警处置。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09" w:name="_Toc12204"/>
      <w:r>
        <w:rPr>
          <w:rFonts w:hint="eastAsia" w:ascii="楷体_GB2312" w:hAnsi="楷体_GB2312" w:eastAsia="楷体_GB2312" w:cs="楷体_GB2312"/>
          <w:sz w:val="32"/>
          <w:szCs w:val="32"/>
          <w:lang w:eastAsia="zh-CN"/>
        </w:rPr>
        <w:t>4.2通知响应</w:t>
      </w:r>
      <w:bookmarkEnd w:id="10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Ⅳ级响应时，由</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人民政府总值班室按照响应分级条件确定响应单位，根据规定及</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政府领导的批示通知响应单位响应；Ⅲ级以上响应时，由应急指挥部启动本预案进行先期处置，并由县政府报请上级政府启动上级应急预案</w:t>
      </w:r>
      <w:r>
        <w:rPr>
          <w:rFonts w:hint="eastAsia" w:cs="仿宋_GB2312"/>
          <w:sz w:val="32"/>
          <w:szCs w:val="32"/>
          <w:lang w:eastAsia="zh-CN"/>
        </w:rPr>
        <w:t>。</w:t>
      </w:r>
      <w:r>
        <w:rPr>
          <w:rFonts w:hint="eastAsia" w:cs="仿宋_GB2312"/>
          <w:sz w:val="32"/>
          <w:szCs w:val="32"/>
          <w:lang w:val="en-US" w:eastAsia="zh-CN"/>
        </w:rPr>
        <w:t>根据</w:t>
      </w:r>
      <w:r>
        <w:rPr>
          <w:rFonts w:hint="eastAsia" w:ascii="仿宋_GB2312" w:hAnsi="仿宋_GB2312" w:eastAsia="仿宋_GB2312" w:cs="仿宋_GB2312"/>
          <w:sz w:val="32"/>
          <w:szCs w:val="32"/>
          <w:lang w:eastAsia="zh-CN"/>
        </w:rPr>
        <w:t>规定及</w:t>
      </w:r>
      <w:r>
        <w:rPr>
          <w:rFonts w:hint="eastAsia" w:cs="仿宋_GB2312"/>
          <w:sz w:val="32"/>
          <w:szCs w:val="32"/>
          <w:lang w:val="en-US" w:eastAsia="zh-CN"/>
        </w:rPr>
        <w:t>市</w:t>
      </w:r>
      <w:r>
        <w:rPr>
          <w:rFonts w:hint="eastAsia" w:ascii="仿宋_GB2312" w:hAnsi="仿宋_GB2312" w:eastAsia="仿宋_GB2312" w:cs="仿宋_GB2312"/>
          <w:sz w:val="32"/>
          <w:szCs w:val="32"/>
          <w:lang w:eastAsia="zh-CN"/>
        </w:rPr>
        <w:t>政府领导的批示通知</w:t>
      </w:r>
      <w:r>
        <w:rPr>
          <w:rFonts w:hint="eastAsia" w:cs="仿宋_GB2312"/>
          <w:sz w:val="32"/>
          <w:szCs w:val="32"/>
          <w:lang w:val="en-US" w:eastAsia="zh-CN"/>
        </w:rPr>
        <w:t>要求，</w:t>
      </w:r>
      <w:r>
        <w:rPr>
          <w:rFonts w:hint="eastAsia" w:ascii="仿宋_GB2312" w:hAnsi="仿宋_GB2312" w:eastAsia="仿宋_GB2312" w:cs="仿宋_GB2312"/>
          <w:sz w:val="32"/>
          <w:szCs w:val="32"/>
          <w:lang w:eastAsia="zh-CN"/>
        </w:rPr>
        <w:t>由</w:t>
      </w:r>
      <w:r>
        <w:rPr>
          <w:rFonts w:hint="eastAsia" w:cs="仿宋_GB2312"/>
          <w:sz w:val="32"/>
          <w:szCs w:val="32"/>
          <w:lang w:val="en-US" w:eastAsia="zh-CN"/>
        </w:rPr>
        <w:t>县指挥部通知有关单位成立现场指挥小组，</w:t>
      </w:r>
      <w:r>
        <w:rPr>
          <w:rFonts w:hint="eastAsia" w:ascii="仿宋_GB2312" w:hAnsi="仿宋_GB2312" w:eastAsia="仿宋_GB2312" w:cs="仿宋_GB2312"/>
          <w:sz w:val="32"/>
          <w:szCs w:val="32"/>
          <w:lang w:eastAsia="zh-CN"/>
        </w:rPr>
        <w:t>接到通知的单位立即赶赴事故现场进行救援。</w:t>
      </w:r>
      <w:r>
        <w:rPr>
          <w:rFonts w:hint="eastAsia" w:cs="仿宋_GB2312"/>
          <w:sz w:val="32"/>
          <w:szCs w:val="32"/>
          <w:lang w:val="en-US" w:eastAsia="zh-CN"/>
        </w:rPr>
        <w:t>在市现场指挥小组到达现场后移交指挥权并接受上级指挥和调配，开展应急处置工作。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方正黑体简体" w:hAnsi="方正黑体简体" w:eastAsia="方正黑体简体" w:cs="方正黑体简体"/>
          <w:sz w:val="32"/>
          <w:szCs w:val="32"/>
          <w:lang w:eastAsia="zh-CN"/>
        </w:rPr>
      </w:pPr>
      <w:bookmarkStart w:id="110" w:name="_Toc22198"/>
      <w:r>
        <w:rPr>
          <w:rFonts w:hint="eastAsia" w:ascii="方正黑体简体" w:hAnsi="方正黑体简体" w:eastAsia="方正黑体简体" w:cs="方正黑体简体"/>
          <w:sz w:val="32"/>
          <w:szCs w:val="32"/>
          <w:lang w:eastAsia="zh-CN"/>
        </w:rPr>
        <w:t>5.应急响应</w:t>
      </w:r>
      <w:bookmarkEnd w:id="11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11" w:name="_Toc6131"/>
      <w:r>
        <w:rPr>
          <w:rFonts w:hint="eastAsia" w:ascii="楷体_GB2312" w:hAnsi="楷体_GB2312" w:eastAsia="楷体_GB2312" w:cs="楷体_GB2312"/>
          <w:sz w:val="32"/>
          <w:szCs w:val="32"/>
          <w:lang w:eastAsia="zh-CN"/>
        </w:rPr>
        <w:t>5.1响应程序</w:t>
      </w:r>
      <w:bookmarkEnd w:id="11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按照属地管理原则，实行分级响应。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12" w:name="_Toc25181"/>
      <w:r>
        <w:rPr>
          <w:rFonts w:hint="eastAsia" w:ascii="楷体_GB2312" w:hAnsi="楷体_GB2312" w:eastAsia="楷体_GB2312" w:cs="楷体_GB2312"/>
          <w:sz w:val="32"/>
          <w:szCs w:val="32"/>
          <w:lang w:eastAsia="zh-CN"/>
        </w:rPr>
        <w:t>5.2启动预案</w:t>
      </w:r>
      <w:bookmarkEnd w:id="11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由</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指挥部办公室根据接到的警情研判，按规定程序向</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指挥长报告并提出响应级别建议，明确响应级别：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启动Ⅳ级响应：启动本预案，成立</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指挥部，指挥长或指挥长委托人确定应急响应单位，成立现场指挥部，决定现场指挥官及现场指挥部应急单位组成，通知应急响应单位立即赶赴事故现场开展救援工作。属地</w:t>
      </w:r>
      <w:r>
        <w:rPr>
          <w:rFonts w:hint="eastAsia" w:cs="仿宋_GB2312"/>
          <w:sz w:val="32"/>
          <w:szCs w:val="32"/>
          <w:lang w:val="en-US" w:eastAsia="zh-CN"/>
        </w:rPr>
        <w:t>乡（镇）人民</w:t>
      </w:r>
      <w:r>
        <w:rPr>
          <w:rFonts w:hint="eastAsia" w:ascii="仿宋_GB2312" w:hAnsi="仿宋_GB2312" w:eastAsia="仿宋_GB2312" w:cs="仿宋_GB2312"/>
          <w:sz w:val="32"/>
          <w:szCs w:val="32"/>
          <w:lang w:eastAsia="zh-CN"/>
        </w:rPr>
        <w:t>政府启动本级预案组织开展</w:t>
      </w:r>
      <w:r>
        <w:rPr>
          <w:rFonts w:hint="eastAsia" w:cs="仿宋_GB2312"/>
          <w:sz w:val="32"/>
          <w:szCs w:val="32"/>
          <w:lang w:val="en-US" w:eastAsia="zh-CN"/>
        </w:rPr>
        <w:t>先期</w:t>
      </w:r>
      <w:r>
        <w:rPr>
          <w:rFonts w:hint="eastAsia" w:ascii="仿宋_GB2312" w:hAnsi="仿宋_GB2312" w:eastAsia="仿宋_GB2312" w:cs="仿宋_GB2312"/>
          <w:sz w:val="32"/>
          <w:szCs w:val="32"/>
          <w:lang w:eastAsia="zh-CN"/>
        </w:rPr>
        <w:t>应急救援工作</w:t>
      </w:r>
      <w:r>
        <w:rPr>
          <w:rFonts w:hint="eastAsia"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启动Ⅲ级以上响应：启动本预案，成立</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指挥部，提请启动</w:t>
      </w:r>
      <w:r>
        <w:rPr>
          <w:rFonts w:hint="eastAsia" w:cs="仿宋_GB2312"/>
          <w:sz w:val="32"/>
          <w:szCs w:val="32"/>
          <w:lang w:val="en-US" w:eastAsia="zh-CN"/>
        </w:rPr>
        <w:t>市</w:t>
      </w:r>
      <w:r>
        <w:rPr>
          <w:rFonts w:hint="eastAsia" w:ascii="仿宋_GB2312" w:hAnsi="仿宋_GB2312" w:eastAsia="仿宋_GB2312" w:cs="仿宋_GB2312"/>
          <w:sz w:val="32"/>
          <w:szCs w:val="32"/>
          <w:lang w:eastAsia="zh-CN"/>
        </w:rPr>
        <w:t>级应急预案；</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指挥部全体成员赶赴事故现场，成立现场指挥部，决定现场指挥官及现场指挥部应急单位组成，先行组织开展应急救援工作；</w:t>
      </w:r>
      <w:r>
        <w:rPr>
          <w:rFonts w:hint="eastAsia" w:cs="仿宋_GB2312"/>
          <w:sz w:val="32"/>
          <w:szCs w:val="32"/>
          <w:lang w:val="en-US" w:eastAsia="zh-CN"/>
        </w:rPr>
        <w:t>市</w:t>
      </w:r>
      <w:r>
        <w:rPr>
          <w:rFonts w:hint="eastAsia" w:ascii="仿宋_GB2312" w:hAnsi="仿宋_GB2312" w:eastAsia="仿宋_GB2312" w:cs="仿宋_GB2312"/>
          <w:sz w:val="32"/>
          <w:szCs w:val="32"/>
          <w:lang w:eastAsia="zh-CN"/>
        </w:rPr>
        <w:t>级应急指挥机构到位后，接受指导继续组织开展应急救援工作。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13" w:name="_Toc1327"/>
      <w:r>
        <w:rPr>
          <w:rFonts w:hint="eastAsia" w:ascii="楷体_GB2312" w:hAnsi="楷体_GB2312" w:eastAsia="楷体_GB2312" w:cs="楷体_GB2312"/>
          <w:sz w:val="32"/>
          <w:szCs w:val="32"/>
          <w:lang w:eastAsia="zh-CN"/>
        </w:rPr>
        <w:t>5.3响应行动</w:t>
      </w:r>
      <w:bookmarkEnd w:id="11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5.3.1</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指挥部办公室的响应行动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及时了解掌握最新烟花爆竹事故基本情况、事态发展和救援的进展情况，向</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指挥长，</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人民政府总值班室、</w:t>
      </w:r>
      <w:r>
        <w:rPr>
          <w:rFonts w:hint="eastAsia" w:cs="仿宋_GB2312"/>
          <w:sz w:val="32"/>
          <w:szCs w:val="32"/>
          <w:lang w:val="en-US" w:eastAsia="zh-CN"/>
        </w:rPr>
        <w:t>市</w:t>
      </w:r>
      <w:r>
        <w:rPr>
          <w:rFonts w:hint="eastAsia" w:ascii="仿宋_GB2312" w:hAnsi="仿宋_GB2312" w:eastAsia="仿宋_GB2312" w:cs="仿宋_GB2312"/>
          <w:sz w:val="32"/>
          <w:szCs w:val="32"/>
          <w:lang w:eastAsia="zh-CN"/>
        </w:rPr>
        <w:t>应急</w:t>
      </w:r>
      <w:r>
        <w:rPr>
          <w:rFonts w:hint="eastAsia" w:cs="仿宋_GB2312"/>
          <w:sz w:val="32"/>
          <w:szCs w:val="32"/>
          <w:lang w:val="en-US" w:eastAsia="zh-CN"/>
        </w:rPr>
        <w:t>管理局</w:t>
      </w:r>
      <w:r>
        <w:rPr>
          <w:rFonts w:hint="eastAsia" w:ascii="仿宋_GB2312" w:hAnsi="仿宋_GB2312" w:eastAsia="仿宋_GB2312" w:cs="仿宋_GB2312"/>
          <w:sz w:val="32"/>
          <w:szCs w:val="32"/>
          <w:lang w:eastAsia="zh-CN"/>
        </w:rPr>
        <w:t>报告；保持与事发地</w:t>
      </w:r>
      <w:r>
        <w:rPr>
          <w:rFonts w:hint="eastAsia" w:cs="仿宋_GB2312"/>
          <w:sz w:val="32"/>
          <w:szCs w:val="32"/>
          <w:lang w:val="en-US" w:eastAsia="zh-CN"/>
        </w:rPr>
        <w:t>乡（镇）人民</w:t>
      </w:r>
      <w:r>
        <w:rPr>
          <w:rFonts w:hint="eastAsia" w:ascii="仿宋_GB2312" w:hAnsi="仿宋_GB2312" w:eastAsia="仿宋_GB2312" w:cs="仿宋_GB2312"/>
          <w:sz w:val="32"/>
          <w:szCs w:val="32"/>
          <w:lang w:eastAsia="zh-CN"/>
        </w:rPr>
        <w:t>政府指挥部、现场指挥部联系，随时掌握事态发展情况；协调相关人员和应急专家赶赴现场；及时协调相关应急力量予以支持；按</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指挥长的指示，协调落实其他有关事项。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5.3.2 </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政府有关部门的响应行动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按照其职责和部门预案进行响应。接到响应通知后，立即组织有关应急力量和人员赶赴事故现场。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14" w:name="_Toc20795"/>
      <w:r>
        <w:rPr>
          <w:rFonts w:hint="eastAsia" w:ascii="楷体_GB2312" w:hAnsi="楷体_GB2312" w:eastAsia="楷体_GB2312" w:cs="楷体_GB2312"/>
          <w:sz w:val="32"/>
          <w:szCs w:val="32"/>
          <w:lang w:eastAsia="zh-CN"/>
        </w:rPr>
        <w:t>5.4 应急处置</w:t>
      </w:r>
      <w:bookmarkEnd w:id="11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5.4.1 先期处置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烟花爆竹生产安全事故发生后，事故单位应当迅速组织人员开展自救。事发地</w:t>
      </w:r>
      <w:r>
        <w:rPr>
          <w:rFonts w:hint="eastAsia" w:cs="仿宋_GB2312"/>
          <w:sz w:val="32"/>
          <w:szCs w:val="32"/>
          <w:lang w:val="en-US" w:eastAsia="zh-CN"/>
        </w:rPr>
        <w:t>乡（镇）人民政府</w:t>
      </w:r>
      <w:r>
        <w:rPr>
          <w:rFonts w:hint="eastAsia" w:ascii="仿宋_GB2312" w:hAnsi="仿宋_GB2312" w:eastAsia="仿宋_GB2312" w:cs="仿宋_GB2312"/>
          <w:sz w:val="32"/>
          <w:szCs w:val="32"/>
          <w:lang w:eastAsia="zh-CN"/>
        </w:rPr>
        <w:t>及有关单位在及时上报事故情况的同时，对事故进行先期应急处置。先期处置内容包括：了解事故现场情况，掌握人员伤亡和人员受困情况，迅速判断事故影响范围和趋势，明确事故现场是否存在火灾、爆炸危险性，划定现场区域、危险区域，初步确定警戒范围、个体防护要求，组织警戒区域群众疏散，确定现场指挥部地点，初步确定应急救援方案并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5.4.2 事态监测与评估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场指挥部根据生产安全事故的具体情况，确定事故现场监测任务的承担单位（消防救援、公安、生态环境、气象等部门），各监测单位按要求选择适当的监测方法、手段、仪器、监测点或部位等开展监测，将监测分析结果及时向现场指挥部汇报，并提出建议。监测分析内容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1、现场尚存的危险物质及数量、位置；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2、可能的爆炸危险性；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3、受损建筑垮塌危险性；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4、空气成分、污染状况；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5、气象条件（如风向、风速、大气稳定度等）；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6、水体（包括地下水、地沟）、土壤、农作物等环境卫生污染状况等。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5.4.3 建立事故应急通讯联络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1、各应急单位应预先确定应急响应时的通讯手段和方法，保障应急通信设备、设施处于完好状态。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2、到达现场救援的各部门或队伍，应立即向现场指挥部报告，并登记通讯联络方法。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w:t>
      </w:r>
      <w:r>
        <w:rPr>
          <w:rFonts w:hint="eastAsia" w:cs="仿宋_GB2312"/>
          <w:sz w:val="32"/>
          <w:szCs w:val="32"/>
          <w:lang w:val="en-US" w:eastAsia="zh-CN"/>
        </w:rPr>
        <w:t>县指挥部</w:t>
      </w:r>
      <w:r>
        <w:rPr>
          <w:rFonts w:hint="eastAsia" w:ascii="仿宋_GB2312" w:hAnsi="仿宋_GB2312" w:eastAsia="仿宋_GB2312" w:cs="仿宋_GB2312"/>
          <w:sz w:val="32"/>
          <w:szCs w:val="32"/>
          <w:lang w:eastAsia="zh-CN"/>
        </w:rPr>
        <w:t>应迅速建立与现场指挥部、有关部门、上级有关机构的通讯手段，保障通讯畅通。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4、要为保障应急救援工作的通讯畅通提供支持；必要时，派出移动通讯保障车辆，增大事故区域的通讯容量，建立临时通讯系统。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仿宋_GB2312" w:hAnsi="仿宋_GB2312" w:eastAsia="仿宋_GB2312" w:cs="仿宋_GB2312"/>
          <w:sz w:val="32"/>
          <w:szCs w:val="32"/>
          <w:lang w:eastAsia="zh-CN"/>
        </w:rPr>
      </w:pPr>
      <w:bookmarkStart w:id="115" w:name="_Toc24446"/>
      <w:r>
        <w:rPr>
          <w:rFonts w:hint="eastAsia" w:ascii="仿宋_GB2312" w:hAnsi="仿宋_GB2312" w:eastAsia="仿宋_GB2312" w:cs="仿宋_GB2312"/>
          <w:sz w:val="32"/>
          <w:szCs w:val="32"/>
          <w:lang w:eastAsia="zh-CN"/>
        </w:rPr>
        <w:t>5、具有爆炸危险性气体环境事故现场不得使用非防爆通讯器材。</w:t>
      </w:r>
      <w:bookmarkEnd w:id="11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仿宋_GB2312" w:hAnsi="仿宋_GB2312" w:eastAsia="仿宋_GB2312" w:cs="仿宋_GB2312"/>
          <w:sz w:val="32"/>
          <w:szCs w:val="32"/>
          <w:lang w:eastAsia="zh-CN"/>
        </w:rPr>
      </w:pPr>
      <w:bookmarkStart w:id="116" w:name="_Toc28083"/>
      <w:r>
        <w:rPr>
          <w:rFonts w:hint="eastAsia" w:ascii="仿宋_GB2312" w:hAnsi="仿宋_GB2312" w:eastAsia="仿宋_GB2312" w:cs="仿宋_GB2312"/>
          <w:sz w:val="32"/>
          <w:szCs w:val="32"/>
          <w:lang w:eastAsia="zh-CN"/>
        </w:rPr>
        <w:t>5.4.4 警戒与管制</w:t>
      </w:r>
      <w:bookmarkEnd w:id="11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由</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公安局牵头组织实施，</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相关部门、属地</w:t>
      </w:r>
      <w:r>
        <w:rPr>
          <w:rFonts w:hint="eastAsia" w:cs="仿宋_GB2312"/>
          <w:sz w:val="32"/>
          <w:szCs w:val="32"/>
          <w:lang w:val="en-US" w:eastAsia="zh-CN"/>
        </w:rPr>
        <w:t>乡（镇）人民政府</w:t>
      </w:r>
      <w:r>
        <w:rPr>
          <w:rFonts w:hint="eastAsia" w:ascii="仿宋_GB2312" w:hAnsi="仿宋_GB2312" w:eastAsia="仿宋_GB2312" w:cs="仿宋_GB2312"/>
          <w:sz w:val="32"/>
          <w:szCs w:val="32"/>
          <w:lang w:eastAsia="zh-CN"/>
        </w:rPr>
        <w:t>予以配合。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1、对事故现场周围实施交通管制和警戒，保障救援队伍、物资运输和人群疏散等通道的交通畅通，防止无关人员进入事故现场。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2、警戒和交通管制人员要注意自身安全防护，到达事故现场后应立即了解事故情况，确定警戒范围，避免进入危险区域，参加警戒和交通管制人员在事故情况不明时应先待命。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3、事故现场警戒范围由现场指挥部确定，并根据事态和监测的结果进行调整。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现场警戒和交通管制的主要任务包括：对事故区域外围的主要交通路口实施临时性管制分流措施，划分救援车辆停车区域，保障救援通道畅通；指挥人员撤离、保障车辆的顺利通行；引导不熟悉地形和道路情况的应急车辆进入现场，及时清除交通障碍物；严禁与救援无关的人员进入事故区域，维护撤离区域和人员安置区场所的社会治安工作，保护撤离区内和各封锁路口附近重要目标及财产安全，打击各种犯罪分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仿宋_GB2312" w:hAnsi="仿宋_GB2312" w:eastAsia="仿宋_GB2312" w:cs="仿宋_GB2312"/>
          <w:sz w:val="32"/>
          <w:szCs w:val="32"/>
          <w:lang w:eastAsia="zh-CN"/>
        </w:rPr>
      </w:pPr>
      <w:bookmarkStart w:id="117" w:name="_Toc10123"/>
      <w:r>
        <w:rPr>
          <w:rFonts w:hint="eastAsia" w:ascii="仿宋_GB2312" w:hAnsi="仿宋_GB2312" w:eastAsia="仿宋_GB2312" w:cs="仿宋_GB2312"/>
          <w:sz w:val="32"/>
          <w:szCs w:val="32"/>
          <w:lang w:eastAsia="zh-CN"/>
        </w:rPr>
        <w:t>5.4.5 抢险组织</w:t>
      </w:r>
      <w:bookmarkEnd w:id="11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由</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消防救援</w:t>
      </w:r>
      <w:r>
        <w:rPr>
          <w:rFonts w:hint="eastAsia" w:cs="仿宋_GB2312"/>
          <w:sz w:val="32"/>
          <w:szCs w:val="32"/>
          <w:lang w:val="en-US" w:eastAsia="zh-CN"/>
        </w:rPr>
        <w:t>大</w:t>
      </w:r>
      <w:r>
        <w:rPr>
          <w:rFonts w:hint="eastAsia" w:ascii="仿宋_GB2312" w:hAnsi="仿宋_GB2312" w:eastAsia="仿宋_GB2312" w:cs="仿宋_GB2312"/>
          <w:sz w:val="32"/>
          <w:szCs w:val="32"/>
          <w:lang w:eastAsia="zh-CN"/>
        </w:rPr>
        <w:t>队牵头组织实施，其他应急救援队伍予以配合。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1、事故责任单位应立即开展自救，组织人员撤离，迅速救助伤员。政府救援力量达到后应密切配合，服从现场指挥部的指挥，为应急救援行动提供全面支持。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2、参加应急救援的队伍和人员在现场指挥部统一指挥、协调下，按照应急救援工作部署和方案，积极开展应急救援行动和各种保障行动。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（1）组织营救和救治受害人员。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（2）迅速查清现场烟花爆竹分布状况，采取措施予以控制，标明或划定危险区域，防止事故扩大。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（3）组织专业人员加强事故涉及区域的环境、气体等监测监控，确保应急救援工作顺利进行。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（4）迅速恢复被损坏的供电、供水、运输、排水、通讯等系统，并采取措施为遇险人员获救创造条件。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（5）采取措施确保建筑物危险状况得到有效控制，组织落实各种应急保障。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仿宋_GB2312" w:hAnsi="仿宋_GB2312" w:eastAsia="仿宋_GB2312" w:cs="仿宋_GB2312"/>
          <w:sz w:val="32"/>
          <w:szCs w:val="32"/>
          <w:lang w:eastAsia="zh-CN"/>
        </w:rPr>
      </w:pPr>
      <w:bookmarkStart w:id="118" w:name="_Toc24137"/>
      <w:r>
        <w:rPr>
          <w:rFonts w:hint="eastAsia" w:ascii="仿宋_GB2312" w:hAnsi="仿宋_GB2312" w:eastAsia="仿宋_GB2312" w:cs="仿宋_GB2312"/>
          <w:sz w:val="32"/>
          <w:szCs w:val="32"/>
          <w:lang w:eastAsia="zh-CN"/>
        </w:rPr>
        <w:t>5.4.6 人群疏散与安置</w:t>
      </w:r>
      <w:bookmarkEnd w:id="11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由属地</w:t>
      </w:r>
      <w:r>
        <w:rPr>
          <w:rFonts w:hint="eastAsia" w:cs="仿宋_GB2312"/>
          <w:sz w:val="32"/>
          <w:szCs w:val="32"/>
          <w:lang w:val="en-US" w:eastAsia="zh-CN"/>
        </w:rPr>
        <w:t>乡（镇）人民政府</w:t>
      </w:r>
      <w:r>
        <w:rPr>
          <w:rFonts w:hint="eastAsia" w:ascii="仿宋_GB2312" w:hAnsi="仿宋_GB2312" w:eastAsia="仿宋_GB2312" w:cs="仿宋_GB2312"/>
          <w:sz w:val="32"/>
          <w:szCs w:val="32"/>
          <w:lang w:eastAsia="zh-CN"/>
        </w:rPr>
        <w:t>负责组织实施，</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相关部门予以配合。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1、是否实施人群疏散行动，由现场指挥部根据事故状况及专家意见作出决定。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2、人群安置场所根据安置人群数量，安置时间长短以及气候等情况，可选择交通便利和有安全保障的公园、学校、宾馆、体育场等公共场所。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3、对启用的临时安置场所，应指定负责人，并提供相应的人力和资源保障，保障安置场所的生活（水、电、食品、衣被）、卫生、通讯和治安等基本需求。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4、对疏散人群中有需特殊援助的群体（例如老人、残疾人、学校、幼儿园、医院、疗养院、监管所等）应重点</w:t>
      </w:r>
      <w:r>
        <w:rPr>
          <w:rFonts w:hint="eastAsia" w:cs="仿宋_GB2312"/>
          <w:sz w:val="32"/>
          <w:szCs w:val="32"/>
          <w:lang w:eastAsia="zh-CN"/>
        </w:rPr>
        <w:t>作出</w:t>
      </w:r>
      <w:r>
        <w:rPr>
          <w:rFonts w:hint="eastAsia" w:ascii="仿宋_GB2312" w:hAnsi="仿宋_GB2312" w:eastAsia="仿宋_GB2312" w:cs="仿宋_GB2312"/>
          <w:sz w:val="32"/>
          <w:szCs w:val="32"/>
          <w:lang w:eastAsia="zh-CN"/>
        </w:rPr>
        <w:t>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5、卫健部门必要时应在人群安置场所设立临时医疗点，设置机动医疗点，做好卫生防疫、污染物洗消等工作，对疏散、安置过程中实施人群健康监护。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仿宋_GB2312" w:hAnsi="仿宋_GB2312" w:eastAsia="仿宋_GB2312" w:cs="仿宋_GB2312"/>
          <w:sz w:val="32"/>
          <w:szCs w:val="32"/>
          <w:lang w:eastAsia="zh-CN"/>
        </w:rPr>
      </w:pPr>
      <w:bookmarkStart w:id="119" w:name="_Toc6189"/>
      <w:r>
        <w:rPr>
          <w:rFonts w:hint="eastAsia" w:ascii="仿宋_GB2312" w:hAnsi="仿宋_GB2312" w:eastAsia="仿宋_GB2312" w:cs="仿宋_GB2312"/>
          <w:sz w:val="32"/>
          <w:szCs w:val="32"/>
          <w:lang w:eastAsia="zh-CN"/>
        </w:rPr>
        <w:t>5.4.7 医疗与卫生</w:t>
      </w:r>
      <w:bookmarkEnd w:id="11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由卫健部门负责组织实施。对现场急救和医疗服务实施统一指挥和协调；记录和汇总伤亡情况，注意保存伤亡人员物品，协助事故伤亡信息发布。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仿宋_GB2312" w:hAnsi="仿宋_GB2312" w:eastAsia="仿宋_GB2312" w:cs="仿宋_GB2312"/>
          <w:sz w:val="32"/>
          <w:szCs w:val="32"/>
          <w:lang w:eastAsia="zh-CN"/>
        </w:rPr>
      </w:pPr>
      <w:bookmarkStart w:id="120" w:name="_Toc28503"/>
      <w:r>
        <w:rPr>
          <w:rFonts w:hint="eastAsia" w:ascii="仿宋_GB2312" w:hAnsi="仿宋_GB2312" w:eastAsia="仿宋_GB2312" w:cs="仿宋_GB2312"/>
          <w:sz w:val="32"/>
          <w:szCs w:val="32"/>
          <w:lang w:eastAsia="zh-CN"/>
        </w:rPr>
        <w:t>5.4.8 应急人员安全</w:t>
      </w:r>
      <w:bookmarkEnd w:id="12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由现场指挥部负责组织实施，各应急单位予以配合。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仿宋_GB2312" w:hAnsi="仿宋_GB2312" w:eastAsia="仿宋_GB2312" w:cs="仿宋_GB2312"/>
          <w:sz w:val="32"/>
          <w:szCs w:val="32"/>
          <w:lang w:eastAsia="zh-CN"/>
        </w:rPr>
      </w:pPr>
      <w:bookmarkStart w:id="121" w:name="_Toc15817"/>
      <w:r>
        <w:rPr>
          <w:rFonts w:hint="eastAsia" w:ascii="仿宋_GB2312" w:hAnsi="仿宋_GB2312" w:eastAsia="仿宋_GB2312" w:cs="仿宋_GB2312"/>
          <w:sz w:val="32"/>
          <w:szCs w:val="32"/>
          <w:lang w:eastAsia="zh-CN"/>
        </w:rPr>
        <w:t>1、所有到达事故现场的部门应立即向现场指挥部报告。</w:t>
      </w:r>
      <w:bookmarkEnd w:id="12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2、现场指挥部应根据事故情况设定控制进入区域范围，应迅速通知各救援部门，警戒区域内严禁各类火种。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3、现场指挥部应随时掌握进入事故区域实施救援的队伍和人员情况。有关人员需进入危险区域的，须报请现场指挥部批准。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4、各应急救援力量应对进入事故救援区域的人员进行严格检查，对人员的个体防护和相关能力予以确认。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仿宋_GB2312" w:hAnsi="仿宋_GB2312" w:eastAsia="仿宋_GB2312" w:cs="仿宋_GB2312"/>
          <w:sz w:val="32"/>
          <w:szCs w:val="32"/>
          <w:lang w:eastAsia="zh-CN"/>
        </w:rPr>
      </w:pPr>
      <w:bookmarkStart w:id="122" w:name="_Toc31214"/>
      <w:r>
        <w:rPr>
          <w:rFonts w:hint="eastAsia" w:ascii="仿宋_GB2312" w:hAnsi="仿宋_GB2312" w:eastAsia="仿宋_GB2312" w:cs="仿宋_GB2312"/>
          <w:sz w:val="32"/>
          <w:szCs w:val="32"/>
          <w:lang w:eastAsia="zh-CN"/>
        </w:rPr>
        <w:t>5、设立现场安全检查人员，监控现场随时可能出现的不安全情况。</w:t>
      </w:r>
      <w:bookmarkEnd w:id="12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6、参加应急人员应建立有可靠的通讯保障，保障应急人员救援安全。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23" w:name="_Toc23189"/>
      <w:r>
        <w:rPr>
          <w:rFonts w:hint="eastAsia" w:ascii="楷体_GB2312" w:hAnsi="楷体_GB2312" w:eastAsia="楷体_GB2312" w:cs="楷体_GB2312"/>
          <w:sz w:val="32"/>
          <w:szCs w:val="32"/>
          <w:lang w:eastAsia="zh-CN"/>
        </w:rPr>
        <w:t>5.5信息发布</w:t>
      </w:r>
      <w:bookmarkEnd w:id="12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烟花爆竹事故信息按照规定程序发布。</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级信息由</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指挥部办公室起草，报</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指挥长批准后方可发布。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信息发布形式主要包括授权发布、新闻通稿、组织报道、接受记者采访、举行新闻发布会等，通过市级主要新闻媒体、重点新闻网站或者有关政府网站发布信息。对社会出现的有关事故谣言，应与媒体及时沟通，澄清事故谣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24" w:name="_Toc23760"/>
      <w:r>
        <w:rPr>
          <w:rFonts w:hint="eastAsia" w:ascii="楷体_GB2312" w:hAnsi="楷体_GB2312" w:eastAsia="楷体_GB2312" w:cs="楷体_GB2312"/>
          <w:sz w:val="32"/>
          <w:szCs w:val="32"/>
          <w:lang w:eastAsia="zh-CN"/>
        </w:rPr>
        <w:t>5.6 应急救援中止</w:t>
      </w:r>
      <w:bookmarkEnd w:id="12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在烟花爆竹生产安全事故应急救援过程中，出现对救援人员的生命有直接威胁，可能造成事故扩大化的情形，或者暂时不具备救援条件等，经专家组论证，提出中止救援意见，</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指挥长可决定应急救援中止。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25" w:name="_Toc14654"/>
      <w:r>
        <w:rPr>
          <w:rFonts w:hint="eastAsia" w:ascii="楷体_GB2312" w:hAnsi="楷体_GB2312" w:eastAsia="楷体_GB2312" w:cs="楷体_GB2312"/>
          <w:sz w:val="32"/>
          <w:szCs w:val="32"/>
          <w:lang w:eastAsia="zh-CN"/>
        </w:rPr>
        <w:t>5.7 应急结束</w:t>
      </w:r>
      <w:bookmarkEnd w:id="12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应急结束前，由</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指挥长对现场洗消、清理等工作</w:t>
      </w:r>
      <w:r>
        <w:rPr>
          <w:rFonts w:hint="eastAsia" w:cs="仿宋_GB2312"/>
          <w:sz w:val="32"/>
          <w:szCs w:val="32"/>
          <w:lang w:eastAsia="zh-CN"/>
        </w:rPr>
        <w:t>作出</w:t>
      </w:r>
      <w:r>
        <w:rPr>
          <w:rFonts w:hint="eastAsia" w:ascii="仿宋_GB2312" w:hAnsi="仿宋_GB2312" w:eastAsia="仿宋_GB2312" w:cs="仿宋_GB2312"/>
          <w:sz w:val="32"/>
          <w:szCs w:val="32"/>
          <w:lang w:eastAsia="zh-CN"/>
        </w:rPr>
        <w:t>安排，由生态环境部门对事故区域进行环境质量监测；经确认应急救援工作基本结束，事故现场得以控制、环境符合有关标准、导致次生事故隐患消除后，由</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指挥长宣布应急结束，应急救援队伍撤离现场，现场指挥部撤销。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方正黑体简体" w:hAnsi="方正黑体简体" w:eastAsia="方正黑体简体" w:cs="方正黑体简体"/>
          <w:sz w:val="32"/>
          <w:szCs w:val="32"/>
          <w:lang w:eastAsia="zh-CN"/>
        </w:rPr>
      </w:pPr>
      <w:bookmarkStart w:id="126" w:name="_Toc19332"/>
      <w:r>
        <w:rPr>
          <w:rFonts w:hint="eastAsia" w:ascii="方正黑体简体" w:hAnsi="方正黑体简体" w:eastAsia="方正黑体简体" w:cs="方正黑体简体"/>
          <w:sz w:val="32"/>
          <w:szCs w:val="32"/>
          <w:lang w:eastAsia="zh-CN"/>
        </w:rPr>
        <w:t>6.后期处置</w:t>
      </w:r>
      <w:bookmarkEnd w:id="12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27" w:name="_Toc27439"/>
      <w:r>
        <w:rPr>
          <w:rFonts w:hint="eastAsia" w:ascii="楷体_GB2312" w:hAnsi="楷体_GB2312" w:eastAsia="楷体_GB2312" w:cs="楷体_GB2312"/>
          <w:sz w:val="32"/>
          <w:szCs w:val="32"/>
          <w:lang w:eastAsia="zh-CN"/>
        </w:rPr>
        <w:t>6.1 善后处置</w:t>
      </w:r>
      <w:bookmarkEnd w:id="12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宣布应急结束后，由事发地</w:t>
      </w:r>
      <w:r>
        <w:rPr>
          <w:rFonts w:hint="eastAsia" w:cs="仿宋_GB2312"/>
          <w:sz w:val="32"/>
          <w:szCs w:val="32"/>
          <w:lang w:val="en-US" w:eastAsia="zh-CN"/>
        </w:rPr>
        <w:t>乡（镇）人民</w:t>
      </w:r>
      <w:r>
        <w:rPr>
          <w:rFonts w:hint="eastAsia" w:ascii="仿宋_GB2312" w:hAnsi="仿宋_GB2312" w:eastAsia="仿宋_GB2312" w:cs="仿宋_GB2312"/>
          <w:sz w:val="32"/>
          <w:szCs w:val="32"/>
          <w:lang w:eastAsia="zh-CN"/>
        </w:rPr>
        <w:t>政府负责，</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有关部门协同配合，组织善后处置工作，包括人员治疗、安置、补偿、征用物资和劳务补偿、救援费用支付等事项，尽快消除事故影响，确保社会稳定。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28" w:name="_Toc24875"/>
      <w:r>
        <w:rPr>
          <w:rFonts w:hint="eastAsia" w:ascii="楷体_GB2312" w:hAnsi="楷体_GB2312" w:eastAsia="楷体_GB2312" w:cs="楷体_GB2312"/>
          <w:sz w:val="32"/>
          <w:szCs w:val="32"/>
          <w:lang w:eastAsia="zh-CN"/>
        </w:rPr>
        <w:t>6.2 保险理赔</w:t>
      </w:r>
      <w:bookmarkEnd w:id="12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烟花爆竹生产安全事故发生后，保险机构及时安排人员开展相关的保险受理和赔付工作。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29" w:name="_Toc14062"/>
      <w:r>
        <w:rPr>
          <w:rFonts w:hint="eastAsia" w:ascii="楷体_GB2312" w:hAnsi="楷体_GB2312" w:eastAsia="楷体_GB2312" w:cs="楷体_GB2312"/>
          <w:sz w:val="32"/>
          <w:szCs w:val="32"/>
          <w:lang w:eastAsia="zh-CN"/>
        </w:rPr>
        <w:t>6.3 事故调查</w:t>
      </w:r>
      <w:bookmarkEnd w:id="12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按国务院《生产安全事故报告和处理条例》及</w:t>
      </w:r>
      <w:r>
        <w:rPr>
          <w:rFonts w:hint="eastAsia" w:cs="仿宋_GB2312"/>
          <w:sz w:val="32"/>
          <w:szCs w:val="32"/>
          <w:lang w:val="en-US" w:eastAsia="zh-CN"/>
        </w:rPr>
        <w:t>永泰县</w:t>
      </w:r>
      <w:r>
        <w:rPr>
          <w:rFonts w:hint="eastAsia" w:ascii="仿宋_GB2312" w:hAnsi="仿宋_GB2312" w:eastAsia="仿宋_GB2312" w:cs="仿宋_GB2312"/>
          <w:sz w:val="32"/>
          <w:szCs w:val="32"/>
          <w:lang w:eastAsia="zh-CN"/>
        </w:rPr>
        <w:t>人民政府的有关规定执行。特别重大、重大</w:t>
      </w:r>
      <w:r>
        <w:rPr>
          <w:rFonts w:hint="eastAsia" w:cs="仿宋_GB2312"/>
          <w:sz w:val="32"/>
          <w:szCs w:val="32"/>
          <w:lang w:eastAsia="zh-CN"/>
        </w:rPr>
        <w:t>、</w:t>
      </w:r>
      <w:r>
        <w:rPr>
          <w:rFonts w:hint="eastAsia" w:cs="仿宋_GB2312"/>
          <w:sz w:val="32"/>
          <w:szCs w:val="32"/>
          <w:lang w:val="en-US" w:eastAsia="zh-CN"/>
        </w:rPr>
        <w:t>较大烟花爆竹</w:t>
      </w:r>
      <w:r>
        <w:rPr>
          <w:rFonts w:hint="eastAsia" w:ascii="仿宋_GB2312" w:hAnsi="仿宋_GB2312" w:eastAsia="仿宋_GB2312" w:cs="仿宋_GB2312"/>
          <w:sz w:val="32"/>
          <w:szCs w:val="32"/>
          <w:lang w:eastAsia="zh-CN"/>
        </w:rPr>
        <w:t>生产安全事故由上级（国务院、省</w:t>
      </w:r>
      <w:r>
        <w:rPr>
          <w:rFonts w:hint="eastAsia" w:cs="仿宋_GB2312"/>
          <w:sz w:val="32"/>
          <w:szCs w:val="32"/>
          <w:lang w:eastAsia="zh-CN"/>
        </w:rPr>
        <w:t>、</w:t>
      </w:r>
      <w:r>
        <w:rPr>
          <w:rFonts w:hint="eastAsia" w:cs="仿宋_GB2312"/>
          <w:sz w:val="32"/>
          <w:szCs w:val="32"/>
          <w:lang w:val="en-US" w:eastAsia="zh-CN"/>
        </w:rPr>
        <w:t>市</w:t>
      </w:r>
      <w:r>
        <w:rPr>
          <w:rFonts w:hint="eastAsia" w:ascii="仿宋_GB2312" w:hAnsi="仿宋_GB2312" w:eastAsia="仿宋_GB2312" w:cs="仿宋_GB2312"/>
          <w:sz w:val="32"/>
          <w:szCs w:val="32"/>
          <w:lang w:eastAsia="zh-CN"/>
        </w:rPr>
        <w:t>）有关部门组成调查组进行调查，</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级应急指挥部及相关部门做好相关配合工作；一般</w:t>
      </w:r>
      <w:r>
        <w:rPr>
          <w:rFonts w:hint="eastAsia" w:cs="仿宋_GB2312"/>
          <w:sz w:val="32"/>
          <w:szCs w:val="32"/>
          <w:lang w:val="en-US" w:eastAsia="zh-CN"/>
        </w:rPr>
        <w:t>烟花爆竹</w:t>
      </w:r>
      <w:r>
        <w:rPr>
          <w:rFonts w:hint="eastAsia" w:ascii="仿宋_GB2312" w:hAnsi="仿宋_GB2312" w:eastAsia="仿宋_GB2312" w:cs="仿宋_GB2312"/>
          <w:sz w:val="32"/>
          <w:szCs w:val="32"/>
          <w:lang w:eastAsia="zh-CN"/>
        </w:rPr>
        <w:t>生产安全事故由县级有关部门组成调查组进行调查。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30" w:name="_Toc10865"/>
      <w:r>
        <w:rPr>
          <w:rFonts w:hint="eastAsia" w:ascii="楷体_GB2312" w:hAnsi="楷体_GB2312" w:eastAsia="楷体_GB2312" w:cs="楷体_GB2312"/>
          <w:sz w:val="32"/>
          <w:szCs w:val="32"/>
          <w:lang w:eastAsia="zh-CN"/>
        </w:rPr>
        <w:t>6.4违法行为查处</w:t>
      </w:r>
      <w:bookmarkEnd w:id="13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由相关部门按照各自职责及相应的法律法规组织开展违法行为的调查取证工作。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31" w:name="_Toc23984"/>
      <w:r>
        <w:rPr>
          <w:rFonts w:hint="eastAsia" w:ascii="楷体_GB2312" w:hAnsi="楷体_GB2312" w:eastAsia="楷体_GB2312" w:cs="楷体_GB2312"/>
          <w:sz w:val="32"/>
          <w:szCs w:val="32"/>
          <w:lang w:eastAsia="zh-CN"/>
        </w:rPr>
        <w:t>6.5应急评估与总结</w:t>
      </w:r>
      <w:bookmarkEnd w:id="13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应急工作结束后，事故调查组要对应急救援工作进行总结和评估，查找存在问题，总结经验教训，并将应急救援情况形成总结报告报</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指挥部办公室。</w:t>
      </w:r>
    </w:p>
    <w:p>
      <w:pPr>
        <w:pStyle w:val="2"/>
        <w:rPr>
          <w:rFonts w:hint="eastAsia" w:ascii="仿宋_GB2312" w:hAnsi="仿宋_GB2312" w:eastAsia="仿宋_GB2312" w:cs="仿宋_GB2312"/>
          <w:sz w:val="32"/>
          <w:szCs w:val="32"/>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方正黑体简体" w:hAnsi="方正黑体简体" w:eastAsia="方正黑体简体" w:cs="方正黑体简体"/>
          <w:sz w:val="32"/>
          <w:szCs w:val="32"/>
          <w:lang w:eastAsia="zh-CN"/>
        </w:rPr>
      </w:pPr>
      <w:bookmarkStart w:id="132" w:name="_Toc5644"/>
      <w:r>
        <w:rPr>
          <w:rFonts w:hint="eastAsia" w:ascii="方正黑体简体" w:hAnsi="方正黑体简体" w:eastAsia="方正黑体简体" w:cs="方正黑体简体"/>
          <w:sz w:val="32"/>
          <w:szCs w:val="32"/>
          <w:lang w:eastAsia="zh-CN"/>
        </w:rPr>
        <w:t>7.保障措施</w:t>
      </w:r>
      <w:bookmarkEnd w:id="13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33" w:name="_Toc17504"/>
      <w:r>
        <w:rPr>
          <w:rFonts w:hint="eastAsia" w:ascii="楷体_GB2312" w:hAnsi="楷体_GB2312" w:eastAsia="楷体_GB2312" w:cs="楷体_GB2312"/>
          <w:sz w:val="32"/>
          <w:szCs w:val="32"/>
          <w:lang w:eastAsia="zh-CN"/>
        </w:rPr>
        <w:t>7.1通信保障</w:t>
      </w:r>
      <w:bookmarkEnd w:id="13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烟花爆竹生产安全事故发生后，事故单位、事发地</w:t>
      </w:r>
      <w:r>
        <w:rPr>
          <w:rFonts w:hint="eastAsia" w:cs="仿宋_GB2312"/>
          <w:sz w:val="32"/>
          <w:szCs w:val="32"/>
          <w:lang w:val="en-US" w:eastAsia="zh-CN"/>
        </w:rPr>
        <w:t>乡</w:t>
      </w:r>
      <w:r>
        <w:rPr>
          <w:rFonts w:hint="eastAsia" w:cs="仿宋_GB2312"/>
          <w:sz w:val="32"/>
          <w:szCs w:val="32"/>
          <w:lang w:eastAsia="zh-CN"/>
        </w:rPr>
        <w:t>（</w:t>
      </w:r>
      <w:r>
        <w:rPr>
          <w:rFonts w:hint="eastAsia" w:cs="仿宋_GB2312"/>
          <w:sz w:val="32"/>
          <w:szCs w:val="32"/>
          <w:lang w:val="en-US" w:eastAsia="zh-CN"/>
        </w:rPr>
        <w:t>镇</w:t>
      </w:r>
      <w:r>
        <w:rPr>
          <w:rFonts w:hint="eastAsia" w:cs="仿宋_GB2312"/>
          <w:sz w:val="32"/>
          <w:szCs w:val="32"/>
          <w:lang w:eastAsia="zh-CN"/>
        </w:rPr>
        <w:t>）</w:t>
      </w:r>
      <w:r>
        <w:rPr>
          <w:rFonts w:hint="eastAsia" w:cs="仿宋_GB2312"/>
          <w:sz w:val="32"/>
          <w:szCs w:val="32"/>
          <w:lang w:val="en-US" w:eastAsia="zh-CN"/>
        </w:rPr>
        <w:t>人民政府</w:t>
      </w:r>
      <w:r>
        <w:rPr>
          <w:rFonts w:hint="eastAsia" w:ascii="仿宋_GB2312" w:hAnsi="仿宋_GB2312" w:eastAsia="仿宋_GB2312" w:cs="仿宋_GB2312"/>
          <w:sz w:val="32"/>
          <w:szCs w:val="32"/>
          <w:lang w:eastAsia="zh-CN"/>
        </w:rPr>
        <w:t>及参与事故应急救援工作的有关人员保持联系畅通，有关单位的调度值班电话保证24小时有人值守，确保通讯联系畅通。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34" w:name="_Toc2586"/>
      <w:r>
        <w:rPr>
          <w:rFonts w:hint="eastAsia" w:ascii="楷体_GB2312" w:hAnsi="楷体_GB2312" w:eastAsia="楷体_GB2312" w:cs="楷体_GB2312"/>
          <w:sz w:val="32"/>
          <w:szCs w:val="32"/>
          <w:lang w:eastAsia="zh-CN"/>
        </w:rPr>
        <w:t>7.2队伍保障</w:t>
      </w:r>
      <w:bookmarkEnd w:id="13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依托当地“119”“120”“110”“122”常备应急力量作为烟花爆竹应急队伍，由公安、消防救援、卫健等部门将烟花爆竹应急技能纳入烟花爆竹应急队伍培训内容，并确保应急队伍的处置人员掌握烟花爆竹处置技能。必要时</w:t>
      </w:r>
      <w:r>
        <w:rPr>
          <w:rFonts w:hint="eastAsia" w:cs="仿宋_GB2312"/>
          <w:sz w:val="32"/>
          <w:szCs w:val="32"/>
          <w:lang w:val="en-US" w:eastAsia="zh-CN"/>
        </w:rPr>
        <w:t>报告县政府，由县政府</w:t>
      </w:r>
      <w:r>
        <w:rPr>
          <w:rFonts w:hint="eastAsia" w:ascii="仿宋_GB2312" w:hAnsi="仿宋_GB2312" w:eastAsia="仿宋_GB2312" w:cs="仿宋_GB2312"/>
          <w:sz w:val="32"/>
          <w:szCs w:val="32"/>
          <w:lang w:eastAsia="zh-CN"/>
        </w:rPr>
        <w:t>请求当地武警部队支援。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35" w:name="_Toc509"/>
      <w:r>
        <w:rPr>
          <w:rFonts w:hint="eastAsia" w:ascii="楷体_GB2312" w:hAnsi="楷体_GB2312" w:eastAsia="楷体_GB2312" w:cs="楷体_GB2312"/>
          <w:sz w:val="32"/>
          <w:szCs w:val="32"/>
          <w:lang w:eastAsia="zh-CN"/>
        </w:rPr>
        <w:t>7.3物资装备保障</w:t>
      </w:r>
      <w:bookmarkEnd w:id="13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参与应急单位根据本行业（领域）烟花爆竹事故应急救援需要，确保应急物资、装备得到保障，所需经费列入部门财政预算，负责建立健全、及时更新本行业（领域）涉及烟花爆竹应急的基本信息数据库、应急救援力量和资源信息数据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36" w:name="_Toc19857"/>
      <w:r>
        <w:rPr>
          <w:rFonts w:hint="eastAsia" w:ascii="楷体_GB2312" w:hAnsi="楷体_GB2312" w:eastAsia="楷体_GB2312" w:cs="楷体_GB2312"/>
          <w:sz w:val="32"/>
          <w:szCs w:val="32"/>
          <w:lang w:eastAsia="zh-CN"/>
        </w:rPr>
        <w:t>7.4资金保障</w:t>
      </w:r>
      <w:bookmarkEnd w:id="13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烟花爆竹经营单位应当做好应急救援必要的资金准备。</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烟花爆竹生产安全事故应急救援所需的资金由</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本级财政承担。</w:t>
      </w:r>
    </w:p>
    <w:p>
      <w:pPr>
        <w:pStyle w:val="2"/>
        <w:ind w:left="0" w:leftChars="0" w:firstLine="640" w:firstLineChars="200"/>
        <w:outlineLvl w:val="1"/>
        <w:rPr>
          <w:rFonts w:hint="eastAsia" w:ascii="楷体_GB2312" w:hAnsi="楷体_GB2312" w:eastAsia="楷体_GB2312" w:cs="楷体_GB2312"/>
          <w:color w:val="auto"/>
          <w:kern w:val="2"/>
          <w:sz w:val="32"/>
          <w:szCs w:val="32"/>
          <w:lang w:val="en-US" w:eastAsia="zh-CN" w:bidi="ar-SA"/>
        </w:rPr>
      </w:pPr>
      <w:bookmarkStart w:id="137" w:name="_Toc26060"/>
      <w:r>
        <w:rPr>
          <w:rFonts w:hint="eastAsia" w:ascii="楷体_GB2312" w:hAnsi="楷体_GB2312" w:eastAsia="楷体_GB2312" w:cs="楷体_GB2312"/>
          <w:color w:val="auto"/>
          <w:kern w:val="2"/>
          <w:sz w:val="32"/>
          <w:szCs w:val="32"/>
          <w:lang w:val="en-US" w:eastAsia="zh-CN" w:bidi="ar-SA"/>
        </w:rPr>
        <w:t>7.5其他保障</w:t>
      </w:r>
      <w:bookmarkEnd w:id="13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县气象局负责做好气象服务保障工作，及时提供天气预报并加强对极端天气的监测预警和气象分析。事故发生后，应立即提供事件发生地及附近的天气情况，对未来天气情况进行实时精准预测。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2、县司法局对</w:t>
      </w:r>
      <w:r>
        <w:rPr>
          <w:rFonts w:hint="eastAsia" w:ascii="仿宋_GB2312" w:hAnsi="仿宋_GB2312" w:eastAsia="仿宋_GB2312" w:cs="仿宋_GB2312"/>
          <w:sz w:val="32"/>
          <w:szCs w:val="32"/>
          <w:lang w:val="en-US" w:eastAsia="zh-CN"/>
        </w:rPr>
        <w:t>烟花爆竹生产安全</w:t>
      </w:r>
      <w:r>
        <w:rPr>
          <w:rFonts w:hint="default" w:ascii="仿宋_GB2312" w:hAnsi="仿宋_GB2312" w:eastAsia="仿宋_GB2312" w:cs="仿宋_GB2312"/>
          <w:sz w:val="32"/>
          <w:szCs w:val="32"/>
          <w:lang w:val="en-US" w:eastAsia="zh-CN"/>
        </w:rPr>
        <w:t>事故应对工作提供法律意见，为应急管理工作提供法制保障。负责应急法律服务，及时为群众提供法律服务和法律援助。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方正黑体简体" w:hAnsi="方正黑体简体" w:eastAsia="方正黑体简体" w:cs="方正黑体简体"/>
          <w:sz w:val="32"/>
          <w:szCs w:val="32"/>
          <w:lang w:eastAsia="zh-CN"/>
        </w:rPr>
      </w:pPr>
      <w:bookmarkStart w:id="138" w:name="_Toc11814"/>
      <w:r>
        <w:rPr>
          <w:rFonts w:hint="eastAsia" w:ascii="方正黑体简体" w:hAnsi="方正黑体简体" w:eastAsia="方正黑体简体" w:cs="方正黑体简体"/>
          <w:sz w:val="32"/>
          <w:szCs w:val="32"/>
          <w:lang w:eastAsia="zh-CN"/>
        </w:rPr>
        <w:t>8.宣传培训和演练</w:t>
      </w:r>
      <w:bookmarkEnd w:id="13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39" w:name="_Toc23597"/>
      <w:r>
        <w:rPr>
          <w:rFonts w:hint="eastAsia" w:ascii="楷体_GB2312" w:hAnsi="楷体_GB2312" w:eastAsia="楷体_GB2312" w:cs="楷体_GB2312"/>
          <w:sz w:val="32"/>
          <w:szCs w:val="32"/>
          <w:lang w:eastAsia="zh-CN"/>
        </w:rPr>
        <w:t>8.1宣传培训</w:t>
      </w:r>
      <w:bookmarkEnd w:id="13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各级有关部门充分利用新闻媒体开展烟花爆竹安全知识（包括事故应急救援知识）的宣传教育，烟花爆竹批发企业应定期组织培训，提升一线从业人员的烟花爆竹应急知识及应急能力。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cs="仿宋_GB2312"/>
          <w:sz w:val="32"/>
          <w:szCs w:val="32"/>
          <w:lang w:val="en-US" w:eastAsia="zh-CN"/>
        </w:rPr>
        <w:t>县</w:t>
      </w:r>
      <w:r>
        <w:rPr>
          <w:rFonts w:hint="eastAsia" w:ascii="仿宋_GB2312" w:hAnsi="仿宋_GB2312" w:eastAsia="仿宋_GB2312" w:cs="仿宋_GB2312"/>
          <w:sz w:val="32"/>
          <w:szCs w:val="32"/>
          <w:lang w:eastAsia="zh-CN"/>
        </w:rPr>
        <w:t>烟花爆竹应急指挥部单位成员及应急救援队伍应当及时对本预案进行解读培训，充分掌握熟悉烟花爆竹事故的应急职责、响应程序和应急处置，切实提高应急机动能力。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40" w:name="_Toc20039"/>
      <w:r>
        <w:rPr>
          <w:rFonts w:hint="eastAsia" w:ascii="楷体_GB2312" w:hAnsi="楷体_GB2312" w:eastAsia="楷体_GB2312" w:cs="楷体_GB2312"/>
          <w:sz w:val="32"/>
          <w:szCs w:val="32"/>
          <w:lang w:eastAsia="zh-CN"/>
        </w:rPr>
        <w:t>8.2演练</w:t>
      </w:r>
      <w:bookmarkEnd w:id="14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8.2.1 应急预案的演练可采用实战演练和桌面演练等多种形式。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8.2.2</w:t>
      </w:r>
      <w:r>
        <w:rPr>
          <w:rFonts w:hint="eastAsia" w:cs="仿宋_GB2312"/>
          <w:sz w:val="32"/>
          <w:szCs w:val="32"/>
          <w:lang w:val="en-US" w:eastAsia="zh-CN"/>
        </w:rPr>
        <w:t xml:space="preserve"> </w:t>
      </w:r>
      <w:r>
        <w:rPr>
          <w:rFonts w:hint="eastAsia" w:ascii="仿宋_GB2312" w:hAnsi="仿宋_GB2312" w:eastAsia="仿宋_GB2312" w:cs="仿宋_GB2312"/>
          <w:sz w:val="32"/>
          <w:szCs w:val="32"/>
          <w:lang w:eastAsia="zh-CN"/>
        </w:rPr>
        <w:t>烟花爆竹批发企业应组织一线从业人员定期开展应急演练。按规定做好应急演练评估工作，并将演练方案、演练音像（图片）等资料及时归档备案。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8.2.3 为加强各部门之间的协同能力，提高防范和处置事故的实战能力，至少每两年进行一次本预案的演练。演练结束后，主管处置部门及参演单位应对演练效果进行评价，及时分析存在的问题，及时整改。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方正黑体简体" w:hAnsi="方正黑体简体" w:eastAsia="方正黑体简体" w:cs="方正黑体简体"/>
          <w:sz w:val="32"/>
          <w:szCs w:val="32"/>
          <w:lang w:eastAsia="zh-CN"/>
        </w:rPr>
      </w:pPr>
      <w:bookmarkStart w:id="141" w:name="_Toc3867"/>
      <w:r>
        <w:rPr>
          <w:rFonts w:hint="eastAsia" w:ascii="方正黑体简体" w:hAnsi="方正黑体简体" w:eastAsia="方正黑体简体" w:cs="方正黑体简体"/>
          <w:sz w:val="32"/>
          <w:szCs w:val="32"/>
          <w:lang w:eastAsia="zh-CN"/>
        </w:rPr>
        <w:t>9.责任追究</w:t>
      </w:r>
      <w:bookmarkEnd w:id="14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烟花爆竹生产安全事故应急处置工作中推诿敷衍，信息报告存在迟报、漏报、谎报、瞒报现象，现场处置中失职、渎职，信息发布和舆论引导不力，以及应急准备工作未落实造成严重后果的，由相关部门依法依规追究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方正黑体简体" w:hAnsi="方正黑体简体" w:eastAsia="方正黑体简体" w:cs="方正黑体简体"/>
          <w:sz w:val="32"/>
          <w:szCs w:val="32"/>
          <w:lang w:eastAsia="zh-CN"/>
        </w:rPr>
      </w:pPr>
      <w:bookmarkStart w:id="142" w:name="_Toc9255"/>
      <w:r>
        <w:rPr>
          <w:rFonts w:hint="eastAsia" w:ascii="方正黑体简体" w:hAnsi="方正黑体简体" w:eastAsia="方正黑体简体" w:cs="方正黑体简体"/>
          <w:sz w:val="32"/>
          <w:szCs w:val="32"/>
          <w:lang w:eastAsia="zh-CN"/>
        </w:rPr>
        <w:t>10.附则</w:t>
      </w:r>
      <w:bookmarkEnd w:id="14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default" w:ascii="楷体_GB2312" w:hAnsi="楷体_GB2312" w:eastAsia="楷体_GB2312" w:cs="楷体_GB2312"/>
          <w:sz w:val="32"/>
          <w:szCs w:val="32"/>
          <w:lang w:val="en-US" w:eastAsia="zh-CN"/>
        </w:rPr>
      </w:pPr>
      <w:bookmarkStart w:id="143" w:name="_Toc18330"/>
      <w:r>
        <w:rPr>
          <w:rFonts w:hint="eastAsia" w:ascii="楷体_GB2312" w:hAnsi="楷体_GB2312" w:eastAsia="楷体_GB2312" w:cs="楷体_GB2312"/>
          <w:sz w:val="32"/>
          <w:szCs w:val="32"/>
          <w:lang w:eastAsia="zh-CN"/>
        </w:rPr>
        <w:t>10.1预案</w:t>
      </w:r>
      <w:r>
        <w:rPr>
          <w:rFonts w:hint="eastAsia" w:ascii="楷体_GB2312" w:hAnsi="楷体_GB2312" w:eastAsia="楷体_GB2312" w:cs="楷体_GB2312"/>
          <w:sz w:val="32"/>
          <w:szCs w:val="32"/>
          <w:lang w:val="en-US" w:eastAsia="zh-CN"/>
        </w:rPr>
        <w:t>管理</w:t>
      </w:r>
      <w:bookmarkEnd w:id="14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本预案的制订、实施、修订、完善、评审和更新由</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应急管理局负责。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default" w:ascii="楷体_GB2312" w:hAnsi="楷体_GB2312" w:eastAsia="楷体_GB2312" w:cs="楷体_GB2312"/>
          <w:sz w:val="32"/>
          <w:szCs w:val="32"/>
          <w:lang w:val="en-US" w:eastAsia="zh-CN"/>
        </w:rPr>
      </w:pPr>
      <w:bookmarkStart w:id="144" w:name="_Toc14829"/>
      <w:r>
        <w:rPr>
          <w:rFonts w:hint="eastAsia" w:ascii="楷体_GB2312" w:hAnsi="楷体_GB2312" w:eastAsia="楷体_GB2312" w:cs="楷体_GB2312"/>
          <w:sz w:val="32"/>
          <w:szCs w:val="32"/>
          <w:lang w:eastAsia="zh-CN"/>
        </w:rPr>
        <w:t>10.</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lang w:eastAsia="zh-CN"/>
        </w:rPr>
        <w:t>预案</w:t>
      </w:r>
      <w:r>
        <w:rPr>
          <w:rFonts w:hint="eastAsia" w:ascii="楷体_GB2312" w:hAnsi="楷体_GB2312" w:eastAsia="楷体_GB2312" w:cs="楷体_GB2312"/>
          <w:sz w:val="32"/>
          <w:szCs w:val="32"/>
          <w:lang w:val="en-US" w:eastAsia="zh-CN"/>
        </w:rPr>
        <w:t>衔接</w:t>
      </w:r>
      <w:bookmarkEnd w:id="14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sz w:val="32"/>
          <w:szCs w:val="32"/>
          <w:lang w:eastAsia="zh-CN"/>
        </w:rPr>
      </w:pPr>
      <w:r>
        <w:rPr>
          <w:rFonts w:hint="eastAsia" w:ascii="仿宋_GB2312" w:hAnsi="仿宋_GB2312" w:eastAsia="仿宋_GB2312" w:cs="仿宋_GB2312"/>
          <w:sz w:val="32"/>
          <w:szCs w:val="32"/>
          <w:lang w:eastAsia="zh-CN"/>
        </w:rPr>
        <w:t>本预案与上级预案《福州市</w:t>
      </w:r>
      <w:r>
        <w:rPr>
          <w:rFonts w:hint="eastAsia" w:cs="仿宋_GB2312"/>
          <w:sz w:val="32"/>
          <w:szCs w:val="32"/>
          <w:lang w:val="en-US" w:eastAsia="zh-CN"/>
        </w:rPr>
        <w:t>烟花爆竹</w:t>
      </w:r>
      <w:r>
        <w:rPr>
          <w:rFonts w:hint="eastAsia" w:ascii="仿宋_GB2312" w:hAnsi="仿宋_GB2312" w:eastAsia="仿宋_GB2312" w:cs="仿宋_GB2312"/>
          <w:sz w:val="32"/>
          <w:szCs w:val="32"/>
          <w:lang w:eastAsia="zh-CN"/>
        </w:rPr>
        <w:t>生产安全事故应急预案》及下级预案各镇（乡）</w:t>
      </w:r>
      <w:r>
        <w:rPr>
          <w:rFonts w:hint="eastAsia" w:cs="仿宋_GB2312"/>
          <w:sz w:val="32"/>
          <w:szCs w:val="32"/>
          <w:lang w:val="en-US" w:eastAsia="zh-CN"/>
        </w:rPr>
        <w:t>烟花爆竹</w:t>
      </w:r>
      <w:r>
        <w:rPr>
          <w:rFonts w:hint="eastAsia" w:ascii="仿宋_GB2312" w:hAnsi="仿宋_GB2312" w:eastAsia="仿宋_GB2312" w:cs="仿宋_GB2312"/>
          <w:sz w:val="32"/>
          <w:szCs w:val="32"/>
          <w:lang w:eastAsia="zh-CN"/>
        </w:rPr>
        <w:t>生产安全事故应急救援预案衔接。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45" w:name="_Toc32671"/>
      <w:r>
        <w:rPr>
          <w:rFonts w:hint="eastAsia" w:ascii="楷体_GB2312" w:hAnsi="楷体_GB2312" w:eastAsia="楷体_GB2312" w:cs="楷体_GB2312"/>
          <w:sz w:val="32"/>
          <w:szCs w:val="32"/>
          <w:lang w:eastAsia="zh-CN"/>
        </w:rPr>
        <w:t>10.</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lang w:eastAsia="zh-CN"/>
        </w:rPr>
        <w:t xml:space="preserve"> 奖励与责任</w:t>
      </w:r>
      <w:bookmarkEnd w:id="14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按照国家、福建省、福州市</w:t>
      </w:r>
      <w:r>
        <w:rPr>
          <w:rFonts w:hint="eastAsia" w:cs="仿宋_GB2312"/>
          <w:sz w:val="32"/>
          <w:szCs w:val="32"/>
          <w:lang w:eastAsia="zh-CN"/>
        </w:rPr>
        <w:t>、</w:t>
      </w:r>
      <w:r>
        <w:rPr>
          <w:rFonts w:hint="eastAsia" w:cs="仿宋_GB2312"/>
          <w:sz w:val="32"/>
          <w:szCs w:val="32"/>
          <w:lang w:val="en-US" w:eastAsia="zh-CN"/>
        </w:rPr>
        <w:t>永泰县</w:t>
      </w:r>
      <w:r>
        <w:rPr>
          <w:rFonts w:hint="eastAsia" w:ascii="仿宋_GB2312" w:hAnsi="仿宋_GB2312" w:eastAsia="仿宋_GB2312" w:cs="仿宋_GB2312"/>
          <w:sz w:val="32"/>
          <w:szCs w:val="32"/>
          <w:lang w:eastAsia="zh-CN"/>
        </w:rPr>
        <w:t>的有关规定执行。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46" w:name="_Toc124"/>
      <w:r>
        <w:rPr>
          <w:rFonts w:hint="eastAsia" w:ascii="楷体_GB2312" w:hAnsi="楷体_GB2312" w:eastAsia="楷体_GB2312" w:cs="楷体_GB2312"/>
          <w:sz w:val="32"/>
          <w:szCs w:val="32"/>
          <w:lang w:eastAsia="zh-CN"/>
        </w:rPr>
        <w:t>10.</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lang w:eastAsia="zh-CN"/>
        </w:rPr>
        <w:t xml:space="preserve"> 预案解释</w:t>
      </w:r>
      <w:bookmarkEnd w:id="14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本预案由</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应急管理局负责解释。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47" w:name="_Toc20536"/>
      <w:r>
        <w:rPr>
          <w:rFonts w:hint="eastAsia" w:ascii="楷体_GB2312" w:hAnsi="楷体_GB2312" w:eastAsia="楷体_GB2312" w:cs="楷体_GB2312"/>
          <w:sz w:val="32"/>
          <w:szCs w:val="32"/>
          <w:lang w:eastAsia="zh-CN"/>
        </w:rPr>
        <w:t>10.</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lang w:eastAsia="zh-CN"/>
        </w:rPr>
        <w:t xml:space="preserve"> 预案实施时间</w:t>
      </w:r>
      <w:bookmarkEnd w:id="14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本预案自印发之日起施行。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p>
    <w:p>
      <w:pPr>
        <w:pStyle w:val="3"/>
        <w:rPr>
          <w:rFonts w:hint="eastAsia" w:ascii="仿宋_GB2312" w:hAnsi="仿宋_GB2312" w:eastAsia="仿宋_GB2312" w:cs="仿宋_GB2312"/>
          <w:lang w:eastAsia="zh-CN"/>
        </w:rPr>
      </w:pPr>
    </w:p>
    <w:p>
      <w:pPr>
        <w:pStyle w:val="3"/>
        <w:rPr>
          <w:rFonts w:hint="eastAsia" w:ascii="仿宋_GB2312" w:hAnsi="仿宋_GB2312" w:eastAsia="仿宋_GB2312" w:cs="仿宋_GB2312"/>
          <w:lang w:eastAsia="zh-CN"/>
        </w:rPr>
      </w:pPr>
    </w:p>
    <w:p>
      <w:pPr>
        <w:pStyle w:val="3"/>
        <w:rPr>
          <w:rFonts w:hint="eastAsia" w:ascii="仿宋_GB2312" w:hAnsi="仿宋_GB2312" w:eastAsia="仿宋_GB2312" w:cs="仿宋_GB2312"/>
          <w:lang w:eastAsia="zh-CN"/>
        </w:rPr>
      </w:pPr>
    </w:p>
    <w:p>
      <w:pPr>
        <w:pStyle w:val="3"/>
        <w:rPr>
          <w:rFonts w:hint="eastAsia" w:ascii="仿宋_GB2312" w:hAnsi="仿宋_GB2312" w:eastAsia="仿宋_GB2312" w:cs="仿宋_GB2312"/>
          <w:lang w:eastAsia="zh-CN"/>
        </w:rPr>
      </w:pPr>
    </w:p>
    <w:p>
      <w:pPr>
        <w:pStyle w:val="3"/>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仿宋_GB2312" w:hAnsi="仿宋_GB2312" w:eastAsia="仿宋_GB2312" w:cs="仿宋_GB2312"/>
          <w:sz w:val="32"/>
          <w:szCs w:val="32"/>
          <w:lang w:eastAsia="zh-CN"/>
        </w:rPr>
      </w:pPr>
      <w:bookmarkStart w:id="148" w:name="_Toc20858"/>
      <w:r>
        <w:rPr>
          <w:rFonts w:hint="eastAsia" w:ascii="方正黑体简体" w:hAnsi="方正黑体简体" w:eastAsia="方正黑体简体" w:cs="方正黑体简体"/>
          <w:sz w:val="32"/>
          <w:szCs w:val="32"/>
          <w:lang w:eastAsia="zh-CN"/>
        </w:rPr>
        <w:t>1</w:t>
      </w:r>
      <w:r>
        <w:rPr>
          <w:rFonts w:hint="eastAsia" w:ascii="方正黑体简体" w:hAnsi="方正黑体简体" w:eastAsia="方正黑体简体" w:cs="方正黑体简体"/>
          <w:sz w:val="32"/>
          <w:szCs w:val="32"/>
          <w:lang w:val="en-US" w:eastAsia="zh-CN"/>
        </w:rPr>
        <w:t>1</w:t>
      </w:r>
      <w:r>
        <w:rPr>
          <w:rFonts w:hint="eastAsia" w:ascii="方正黑体简体" w:hAnsi="方正黑体简体" w:eastAsia="方正黑体简体" w:cs="方正黑体简体"/>
          <w:sz w:val="32"/>
          <w:szCs w:val="32"/>
          <w:lang w:eastAsia="zh-CN"/>
        </w:rPr>
        <w:t>.</w:t>
      </w:r>
      <w:r>
        <w:rPr>
          <w:rFonts w:hint="eastAsia" w:ascii="方正黑体简体" w:hAnsi="方正黑体简体" w:eastAsia="方正黑体简体" w:cs="方正黑体简体"/>
          <w:sz w:val="32"/>
          <w:szCs w:val="32"/>
          <w:lang w:val="en-US" w:eastAsia="zh-CN"/>
        </w:rPr>
        <w:t>附件</w:t>
      </w:r>
      <w:bookmarkEnd w:id="148"/>
    </w:p>
    <w:p>
      <w:pPr>
        <w:pStyle w:val="3"/>
        <w:outlineLvl w:val="0"/>
        <w:rPr>
          <w:rFonts w:hint="eastAsia" w:ascii="方正黑体简体" w:hAnsi="方正黑体简体" w:eastAsia="方正黑体简体" w:cs="方正黑体简体"/>
          <w:sz w:val="32"/>
          <w:szCs w:val="32"/>
          <w:lang w:val="en-US" w:eastAsia="zh-CN"/>
        </w:rPr>
      </w:pPr>
      <w:bookmarkStart w:id="149" w:name="_Toc1538"/>
      <w:r>
        <w:rPr>
          <w:rFonts w:hint="eastAsia" w:ascii="方正黑体简体" w:hAnsi="方正黑体简体" w:eastAsia="方正黑体简体" w:cs="方正黑体简体"/>
          <w:sz w:val="32"/>
          <w:szCs w:val="32"/>
          <w:lang w:eastAsia="zh-CN"/>
        </w:rPr>
        <w:t>附件</w:t>
      </w:r>
      <w:r>
        <w:rPr>
          <w:rFonts w:hint="eastAsia" w:ascii="方正黑体简体" w:hAnsi="方正黑体简体" w:eastAsia="方正黑体简体" w:cs="方正黑体简体"/>
          <w:sz w:val="32"/>
          <w:szCs w:val="32"/>
          <w:lang w:val="en-US" w:eastAsia="zh-CN"/>
        </w:rPr>
        <w:t xml:space="preserve"> 1</w:t>
      </w:r>
      <w:bookmarkEnd w:id="149"/>
    </w:p>
    <w:p>
      <w:pPr>
        <w:pStyle w:val="3"/>
        <w:jc w:val="center"/>
        <w:outlineLvl w:val="0"/>
        <w:rPr>
          <w:rFonts w:hint="eastAsia" w:ascii="方正小标宋简体" w:hAnsi="微软雅黑" w:eastAsia="方正小标宋简体" w:cs="宋体"/>
          <w:color w:val="000000"/>
          <w:kern w:val="0"/>
          <w:sz w:val="40"/>
          <w:szCs w:val="40"/>
          <w:lang w:eastAsia="zh-CN"/>
        </w:rPr>
      </w:pPr>
      <w:bookmarkStart w:id="150" w:name="_Toc25206"/>
      <w:r>
        <w:rPr>
          <w:rFonts w:hint="eastAsia" w:ascii="方正小标宋简体" w:hAnsi="微软雅黑" w:eastAsia="方正小标宋简体" w:cs="宋体"/>
          <w:color w:val="000000"/>
          <w:kern w:val="0"/>
          <w:sz w:val="40"/>
          <w:szCs w:val="40"/>
          <w:lang w:eastAsia="zh-CN"/>
        </w:rPr>
        <w:t>烟花爆竹生产安全事故、预警分级和响应级别</w:t>
      </w:r>
      <w:bookmarkEnd w:id="150"/>
    </w:p>
    <w:tbl>
      <w:tblPr>
        <w:tblStyle w:val="9"/>
        <w:tblW w:w="8983"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1"/>
        <w:gridCol w:w="866"/>
        <w:gridCol w:w="1685"/>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1" w:type="dxa"/>
            <w:noWrap w:val="0"/>
            <w:vAlign w:val="center"/>
          </w:tcPr>
          <w:p>
            <w:pPr>
              <w:keepNext w:val="0"/>
              <w:keepLines w:val="0"/>
              <w:pageBreakBefore w:val="0"/>
              <w:kinsoku/>
              <w:wordWrap/>
              <w:overflowPunct/>
              <w:topLinePunct w:val="0"/>
              <w:autoSpaceDE/>
              <w:autoSpaceDN/>
              <w:bidi w:val="0"/>
              <w:adjustRightInd/>
              <w:snapToGrid w:val="0"/>
              <w:spacing w:beforeLines="0" w:afterLines="0" w:line="0" w:lineRule="atLeast"/>
              <w:ind w:firstLine="0" w:firstLineChars="0"/>
              <w:jc w:val="center"/>
              <w:textAlignment w:val="auto"/>
              <w:rPr>
                <w:rFonts w:hint="eastAsia" w:ascii="宋体" w:hAnsi="宋体" w:eastAsia="宋体" w:cs="宋体"/>
                <w:b/>
                <w:bCs/>
                <w:color w:val="auto"/>
                <w:kern w:val="0"/>
                <w:sz w:val="22"/>
                <w:szCs w:val="22"/>
                <w:lang w:val="en-US" w:eastAsia="zh-CN" w:bidi="ar-SA"/>
              </w:rPr>
            </w:pPr>
            <w:r>
              <w:rPr>
                <w:rFonts w:hint="eastAsia" w:ascii="宋体" w:hAnsi="宋体" w:eastAsia="宋体" w:cs="宋体"/>
                <w:b/>
                <w:bCs/>
                <w:color w:val="auto"/>
                <w:kern w:val="0"/>
                <w:sz w:val="22"/>
                <w:szCs w:val="22"/>
              </w:rPr>
              <w:t>事故及预警分级</w:t>
            </w:r>
          </w:p>
        </w:tc>
        <w:tc>
          <w:tcPr>
            <w:tcW w:w="866" w:type="dxa"/>
            <w:noWrap w:val="0"/>
            <w:vAlign w:val="center"/>
          </w:tcPr>
          <w:p>
            <w:pPr>
              <w:keepNext w:val="0"/>
              <w:keepLines w:val="0"/>
              <w:pageBreakBefore w:val="0"/>
              <w:kinsoku/>
              <w:wordWrap/>
              <w:overflowPunct/>
              <w:topLinePunct w:val="0"/>
              <w:autoSpaceDE/>
              <w:autoSpaceDN/>
              <w:bidi w:val="0"/>
              <w:adjustRightInd/>
              <w:snapToGrid w:val="0"/>
              <w:spacing w:beforeLines="0" w:afterLines="0" w:line="0" w:lineRule="atLeast"/>
              <w:ind w:firstLine="0" w:firstLineChars="0"/>
              <w:jc w:val="center"/>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响应</w:t>
            </w:r>
          </w:p>
          <w:p>
            <w:pPr>
              <w:keepNext w:val="0"/>
              <w:keepLines w:val="0"/>
              <w:pageBreakBefore w:val="0"/>
              <w:kinsoku/>
              <w:wordWrap/>
              <w:overflowPunct/>
              <w:topLinePunct w:val="0"/>
              <w:autoSpaceDE/>
              <w:autoSpaceDN/>
              <w:bidi w:val="0"/>
              <w:adjustRightInd/>
              <w:snapToGrid w:val="0"/>
              <w:spacing w:beforeLines="0" w:afterLines="0" w:line="0" w:lineRule="atLeast"/>
              <w:ind w:firstLine="0" w:firstLineChars="0"/>
              <w:jc w:val="center"/>
              <w:textAlignment w:val="auto"/>
              <w:rPr>
                <w:rFonts w:hint="eastAsia" w:ascii="宋体" w:hAnsi="宋体" w:eastAsia="宋体" w:cs="宋体"/>
                <w:b/>
                <w:bCs/>
                <w:color w:val="auto"/>
                <w:kern w:val="0"/>
                <w:sz w:val="22"/>
                <w:szCs w:val="22"/>
                <w:lang w:val="en-US" w:eastAsia="zh-CN" w:bidi="ar-SA"/>
              </w:rPr>
            </w:pPr>
            <w:r>
              <w:rPr>
                <w:rFonts w:hint="eastAsia" w:ascii="宋体" w:hAnsi="宋体" w:eastAsia="宋体" w:cs="宋体"/>
                <w:b/>
                <w:bCs/>
                <w:color w:val="auto"/>
                <w:kern w:val="0"/>
                <w:sz w:val="22"/>
                <w:szCs w:val="22"/>
              </w:rPr>
              <w:t>级别</w:t>
            </w:r>
          </w:p>
        </w:tc>
        <w:tc>
          <w:tcPr>
            <w:tcW w:w="1685" w:type="dxa"/>
            <w:noWrap w:val="0"/>
            <w:vAlign w:val="center"/>
          </w:tcPr>
          <w:p>
            <w:pPr>
              <w:keepNext w:val="0"/>
              <w:keepLines w:val="0"/>
              <w:pageBreakBefore w:val="0"/>
              <w:kinsoku/>
              <w:wordWrap/>
              <w:overflowPunct/>
              <w:topLinePunct w:val="0"/>
              <w:autoSpaceDE/>
              <w:autoSpaceDN/>
              <w:bidi w:val="0"/>
              <w:adjustRightInd/>
              <w:snapToGrid w:val="0"/>
              <w:spacing w:beforeLines="0" w:afterLines="0" w:line="0" w:lineRule="atLeast"/>
              <w:ind w:firstLine="0" w:firstLineChars="0"/>
              <w:jc w:val="center"/>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lang w:val="en-US" w:eastAsia="zh-CN" w:bidi="ar-SA"/>
              </w:rPr>
              <w:t>事故造成影响</w:t>
            </w:r>
          </w:p>
        </w:tc>
        <w:tc>
          <w:tcPr>
            <w:tcW w:w="2151" w:type="dxa"/>
            <w:noWrap w:val="0"/>
            <w:vAlign w:val="center"/>
          </w:tcPr>
          <w:p>
            <w:pPr>
              <w:keepNext w:val="0"/>
              <w:keepLines w:val="0"/>
              <w:pageBreakBefore w:val="0"/>
              <w:kinsoku/>
              <w:wordWrap/>
              <w:overflowPunct/>
              <w:topLinePunct w:val="0"/>
              <w:autoSpaceDE/>
              <w:autoSpaceDN/>
              <w:bidi w:val="0"/>
              <w:adjustRightInd/>
              <w:snapToGrid w:val="0"/>
              <w:spacing w:beforeLines="0" w:afterLines="0" w:line="0" w:lineRule="atLeast"/>
              <w:ind w:firstLine="0" w:firstLineChars="0"/>
              <w:jc w:val="center"/>
              <w:textAlignment w:val="auto"/>
              <w:rPr>
                <w:rFonts w:hint="eastAsia" w:ascii="宋体" w:hAnsi="宋体" w:eastAsia="宋体" w:cs="宋体"/>
                <w:b/>
                <w:bCs/>
                <w:color w:val="auto"/>
                <w:kern w:val="0"/>
                <w:sz w:val="22"/>
                <w:szCs w:val="22"/>
                <w:lang w:val="en-US" w:eastAsia="zh-CN" w:bidi="ar-SA"/>
              </w:rPr>
            </w:pPr>
            <w:r>
              <w:rPr>
                <w:rFonts w:hint="eastAsia" w:ascii="宋体" w:hAnsi="宋体" w:eastAsia="宋体" w:cs="宋体"/>
                <w:b/>
                <w:bCs/>
                <w:color w:val="auto"/>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1" w:type="dxa"/>
            <w:noWrap w:val="0"/>
            <w:vAlign w:val="center"/>
          </w:tcPr>
          <w:p>
            <w:pPr>
              <w:keepNext w:val="0"/>
              <w:keepLines w:val="0"/>
              <w:pageBreakBefore w:val="0"/>
              <w:widowControl/>
              <w:kinsoku/>
              <w:wordWrap/>
              <w:overflowPunct/>
              <w:topLinePunct w:val="0"/>
              <w:autoSpaceDE/>
              <w:autoSpaceDN/>
              <w:bidi w:val="0"/>
              <w:adjustRightInd/>
              <w:spacing w:beforeLines="0" w:afterLines="0" w:line="0" w:lineRule="atLeast"/>
              <w:ind w:firstLine="0" w:firstLineChars="0"/>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特别重大</w:t>
            </w:r>
            <w:r>
              <w:rPr>
                <w:rFonts w:hint="eastAsia" w:ascii="宋体" w:hAnsi="宋体" w:eastAsia="宋体" w:cs="宋体"/>
                <w:b/>
                <w:bCs/>
                <w:color w:val="auto"/>
                <w:sz w:val="22"/>
                <w:szCs w:val="22"/>
                <w:lang w:val="en-US" w:eastAsia="zh-CN"/>
              </w:rPr>
              <w:t>烟花爆竹生产安全</w:t>
            </w:r>
            <w:r>
              <w:rPr>
                <w:rFonts w:hint="eastAsia" w:ascii="宋体" w:hAnsi="宋体" w:eastAsia="宋体" w:cs="宋体"/>
                <w:b/>
                <w:bCs/>
                <w:color w:val="auto"/>
                <w:sz w:val="22"/>
                <w:szCs w:val="22"/>
              </w:rPr>
              <w:t>事故（Ⅰ级）:</w:t>
            </w:r>
          </w:p>
          <w:p>
            <w:pPr>
              <w:keepNext w:val="0"/>
              <w:keepLines w:val="0"/>
              <w:pageBreakBefore w:val="0"/>
              <w:kinsoku/>
              <w:wordWrap/>
              <w:overflowPunct/>
              <w:topLinePunct w:val="0"/>
              <w:autoSpaceDE/>
              <w:autoSpaceDN/>
              <w:bidi w:val="0"/>
              <w:adjustRightInd/>
              <w:spacing w:beforeLines="0" w:afterLines="0" w:line="0" w:lineRule="atLeast"/>
              <w:ind w:firstLine="0" w:firstLineChars="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1、造成30人以上死亡（含失踪），或危及30人以上生命安全，或者100人以上中毒（重伤），或者直接经济损失1亿元以上的特别重大生产安全事故；</w:t>
            </w:r>
          </w:p>
          <w:p>
            <w:pPr>
              <w:keepNext w:val="0"/>
              <w:keepLines w:val="0"/>
              <w:pageBreakBefore w:val="0"/>
              <w:kinsoku/>
              <w:wordWrap/>
              <w:overflowPunct/>
              <w:topLinePunct w:val="0"/>
              <w:autoSpaceDE/>
              <w:autoSpaceDN/>
              <w:bidi w:val="0"/>
              <w:adjustRightInd/>
              <w:spacing w:beforeLines="0" w:afterLines="0" w:line="0" w:lineRule="atLeast"/>
              <w:ind w:firstLine="0" w:firstLineChars="0"/>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2、国务院认为需要国务院安委会响应的事故。</w:t>
            </w:r>
          </w:p>
        </w:tc>
        <w:tc>
          <w:tcPr>
            <w:tcW w:w="866" w:type="dxa"/>
            <w:noWrap w:val="0"/>
            <w:vAlign w:val="center"/>
          </w:tcPr>
          <w:p>
            <w:pPr>
              <w:keepNext w:val="0"/>
              <w:keepLines w:val="0"/>
              <w:pageBreakBefore w:val="0"/>
              <w:kinsoku/>
              <w:wordWrap/>
              <w:overflowPunct/>
              <w:topLinePunct w:val="0"/>
              <w:autoSpaceDE/>
              <w:autoSpaceDN/>
              <w:bidi w:val="0"/>
              <w:adjustRightInd/>
              <w:snapToGrid w:val="0"/>
              <w:spacing w:beforeLines="0" w:afterLines="0" w:line="0" w:lineRule="atLeast"/>
              <w:ind w:firstLine="0" w:firstLineChars="0"/>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特别</w:t>
            </w:r>
          </w:p>
          <w:p>
            <w:pPr>
              <w:keepNext w:val="0"/>
              <w:keepLines w:val="0"/>
              <w:pageBreakBefore w:val="0"/>
              <w:kinsoku/>
              <w:wordWrap/>
              <w:overflowPunct/>
              <w:topLinePunct w:val="0"/>
              <w:autoSpaceDE/>
              <w:autoSpaceDN/>
              <w:bidi w:val="0"/>
              <w:adjustRightInd/>
              <w:snapToGrid w:val="0"/>
              <w:spacing w:beforeLines="0" w:afterLines="0" w:line="0" w:lineRule="atLeast"/>
              <w:ind w:firstLine="0" w:firstLineChars="0"/>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严重</w:t>
            </w:r>
          </w:p>
          <w:p>
            <w:pPr>
              <w:keepNext w:val="0"/>
              <w:keepLines w:val="0"/>
              <w:pageBreakBefore w:val="0"/>
              <w:kinsoku/>
              <w:wordWrap/>
              <w:overflowPunct/>
              <w:topLinePunct w:val="0"/>
              <w:autoSpaceDE/>
              <w:autoSpaceDN/>
              <w:bidi w:val="0"/>
              <w:adjustRightInd/>
              <w:snapToGrid w:val="0"/>
              <w:spacing w:beforeLines="0" w:afterLines="0" w:line="0" w:lineRule="atLeast"/>
              <w:ind w:firstLine="0" w:firstLineChars="0"/>
              <w:jc w:val="center"/>
              <w:textAlignment w:val="auto"/>
              <w:rPr>
                <w:rFonts w:hint="eastAsia" w:ascii="宋体" w:hAnsi="宋体" w:eastAsia="宋体" w:cs="宋体"/>
                <w:color w:val="auto"/>
                <w:kern w:val="0"/>
                <w:sz w:val="22"/>
                <w:szCs w:val="22"/>
                <w:lang w:val="en-US" w:eastAsia="zh-CN" w:bidi="ar-SA"/>
              </w:rPr>
            </w:pPr>
            <w:r>
              <w:rPr>
                <w:rFonts w:hint="eastAsia" w:ascii="宋体" w:hAnsi="宋体" w:eastAsia="宋体" w:cs="宋体"/>
                <w:b/>
                <w:bCs/>
                <w:color w:val="auto"/>
                <w:sz w:val="22"/>
                <w:szCs w:val="22"/>
              </w:rPr>
              <w:t>Ⅰ</w:t>
            </w:r>
          </w:p>
        </w:tc>
        <w:tc>
          <w:tcPr>
            <w:tcW w:w="1685" w:type="dxa"/>
            <w:noWrap w:val="0"/>
            <w:vAlign w:val="center"/>
          </w:tcPr>
          <w:p>
            <w:pPr>
              <w:keepNext w:val="0"/>
              <w:keepLines w:val="0"/>
              <w:pageBreakBefore w:val="0"/>
              <w:kinsoku/>
              <w:wordWrap/>
              <w:overflowPunct/>
              <w:topLinePunct w:val="0"/>
              <w:autoSpaceDE/>
              <w:autoSpaceDN/>
              <w:bidi w:val="0"/>
              <w:adjustRightInd/>
              <w:snapToGrid w:val="0"/>
              <w:spacing w:line="0" w:lineRule="atLeast"/>
              <w:ind w:left="0" w:leftChars="0" w:right="0" w:rightChars="0" w:firstLine="0" w:firstLineChars="0"/>
              <w:textAlignment w:val="auto"/>
              <w:outlineLvl w:val="9"/>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社会影响特别重大，事故态势发展特别严重的</w:t>
            </w:r>
          </w:p>
        </w:tc>
        <w:tc>
          <w:tcPr>
            <w:tcW w:w="2151" w:type="dxa"/>
            <w:noWrap w:val="0"/>
            <w:vAlign w:val="center"/>
          </w:tcPr>
          <w:p>
            <w:pPr>
              <w:keepNext w:val="0"/>
              <w:keepLines w:val="0"/>
              <w:pageBreakBefore w:val="0"/>
              <w:kinsoku/>
              <w:wordWrap/>
              <w:overflowPunct/>
              <w:topLinePunct w:val="0"/>
              <w:autoSpaceDE/>
              <w:autoSpaceDN/>
              <w:bidi w:val="0"/>
              <w:adjustRightInd/>
              <w:snapToGrid w:val="0"/>
              <w:spacing w:beforeLines="0" w:afterLines="0" w:line="0" w:lineRule="atLeast"/>
              <w:ind w:firstLine="0" w:firstLineChars="0"/>
              <w:textAlignment w:val="auto"/>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sz w:val="22"/>
                <w:szCs w:val="22"/>
              </w:rPr>
              <w:t>需要启动Ⅰ级应急响应时，省政府启动Ⅱ级应急响应进行先期处置。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1" w:type="dxa"/>
            <w:noWrap w:val="0"/>
            <w:vAlign w:val="center"/>
          </w:tcPr>
          <w:p>
            <w:pPr>
              <w:keepNext w:val="0"/>
              <w:keepLines w:val="0"/>
              <w:pageBreakBefore w:val="0"/>
              <w:widowControl/>
              <w:kinsoku/>
              <w:wordWrap/>
              <w:overflowPunct/>
              <w:topLinePunct w:val="0"/>
              <w:autoSpaceDE/>
              <w:autoSpaceDN/>
              <w:bidi w:val="0"/>
              <w:adjustRightInd/>
              <w:spacing w:beforeLines="0" w:afterLines="0" w:line="0" w:lineRule="atLeast"/>
              <w:ind w:firstLine="0" w:firstLineChars="0"/>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重大</w:t>
            </w:r>
            <w:r>
              <w:rPr>
                <w:rFonts w:hint="eastAsia" w:ascii="宋体" w:hAnsi="宋体" w:eastAsia="宋体" w:cs="宋体"/>
                <w:b/>
                <w:bCs/>
                <w:color w:val="auto"/>
                <w:sz w:val="22"/>
                <w:szCs w:val="22"/>
                <w:lang w:val="en-US" w:eastAsia="zh-CN"/>
              </w:rPr>
              <w:t>烟花爆竹生产安全</w:t>
            </w:r>
            <w:r>
              <w:rPr>
                <w:rFonts w:hint="eastAsia" w:ascii="宋体" w:hAnsi="宋体" w:eastAsia="宋体" w:cs="宋体"/>
                <w:b/>
                <w:bCs/>
                <w:color w:val="auto"/>
                <w:sz w:val="22"/>
                <w:szCs w:val="22"/>
              </w:rPr>
              <w:t>事故（Ⅱ级）:</w:t>
            </w:r>
          </w:p>
          <w:p>
            <w:pPr>
              <w:keepNext w:val="0"/>
              <w:keepLines w:val="0"/>
              <w:pageBreakBefore w:val="0"/>
              <w:kinsoku/>
              <w:wordWrap/>
              <w:overflowPunct/>
              <w:topLinePunct w:val="0"/>
              <w:autoSpaceDE/>
              <w:autoSpaceDN/>
              <w:bidi w:val="0"/>
              <w:adjustRightInd/>
              <w:spacing w:beforeLines="0" w:afterLines="0" w:line="0" w:lineRule="atLeast"/>
              <w:ind w:firstLine="0" w:firstLineChars="0"/>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1、造成10人以上、30人以下死亡（含失踪），或危及10人以上、30人以下生命安全，或者50人以上、100人以下中毒（重伤），或者直接经济损失5000万元以上、l亿元以下的生产安全事故；</w:t>
            </w:r>
          </w:p>
          <w:p>
            <w:pPr>
              <w:keepNext w:val="0"/>
              <w:keepLines w:val="0"/>
              <w:pageBreakBefore w:val="0"/>
              <w:kinsoku/>
              <w:wordWrap/>
              <w:overflowPunct/>
              <w:topLinePunct w:val="0"/>
              <w:autoSpaceDE/>
              <w:autoSpaceDN/>
              <w:bidi w:val="0"/>
              <w:adjustRightInd/>
              <w:spacing w:beforeLines="0" w:afterLines="0" w:line="0" w:lineRule="atLeas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2、超出设区市政府应急处置能力的事故；</w:t>
            </w:r>
          </w:p>
          <w:p>
            <w:pPr>
              <w:keepNext w:val="0"/>
              <w:keepLines w:val="0"/>
              <w:pageBreakBefore w:val="0"/>
              <w:kinsoku/>
              <w:wordWrap/>
              <w:overflowPunct/>
              <w:topLinePunct w:val="0"/>
              <w:autoSpaceDE/>
              <w:autoSpaceDN/>
              <w:bidi w:val="0"/>
              <w:adjustRightInd/>
              <w:spacing w:beforeLines="0" w:afterLines="0" w:line="0" w:lineRule="atLeas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3、跨设区市行政区的事故；</w:t>
            </w:r>
          </w:p>
          <w:p>
            <w:pPr>
              <w:keepNext w:val="0"/>
              <w:keepLines w:val="0"/>
              <w:pageBreakBefore w:val="0"/>
              <w:kinsoku/>
              <w:wordWrap/>
              <w:overflowPunct/>
              <w:topLinePunct w:val="0"/>
              <w:autoSpaceDE/>
              <w:autoSpaceDN/>
              <w:bidi w:val="0"/>
              <w:adjustRightInd/>
              <w:spacing w:beforeLines="0" w:afterLines="0" w:line="0" w:lineRule="atLeast"/>
              <w:ind w:firstLine="0" w:firstLineChars="0"/>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4、省政府认为有需要响应的事故。</w:t>
            </w:r>
          </w:p>
        </w:tc>
        <w:tc>
          <w:tcPr>
            <w:tcW w:w="866" w:type="dxa"/>
            <w:noWrap w:val="0"/>
            <w:vAlign w:val="center"/>
          </w:tcPr>
          <w:p>
            <w:pPr>
              <w:keepNext w:val="0"/>
              <w:keepLines w:val="0"/>
              <w:pageBreakBefore w:val="0"/>
              <w:kinsoku/>
              <w:wordWrap/>
              <w:overflowPunct/>
              <w:topLinePunct w:val="0"/>
              <w:autoSpaceDE/>
              <w:autoSpaceDN/>
              <w:bidi w:val="0"/>
              <w:adjustRightInd/>
              <w:snapToGrid w:val="0"/>
              <w:spacing w:beforeLines="0" w:afterLines="0" w:line="0" w:lineRule="atLeast"/>
              <w:ind w:firstLine="0" w:firstLineChars="0"/>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严重</w:t>
            </w:r>
          </w:p>
          <w:p>
            <w:pPr>
              <w:keepNext w:val="0"/>
              <w:keepLines w:val="0"/>
              <w:pageBreakBefore w:val="0"/>
              <w:kinsoku/>
              <w:wordWrap/>
              <w:overflowPunct/>
              <w:topLinePunct w:val="0"/>
              <w:autoSpaceDE/>
              <w:autoSpaceDN/>
              <w:bidi w:val="0"/>
              <w:adjustRightInd/>
              <w:snapToGrid w:val="0"/>
              <w:spacing w:beforeLines="0" w:afterLines="0" w:line="0" w:lineRule="atLeast"/>
              <w:ind w:firstLine="0" w:firstLineChars="0"/>
              <w:jc w:val="center"/>
              <w:textAlignment w:val="auto"/>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sz w:val="22"/>
                <w:szCs w:val="22"/>
              </w:rPr>
              <w:t>Ⅱ</w:t>
            </w:r>
          </w:p>
        </w:tc>
        <w:tc>
          <w:tcPr>
            <w:tcW w:w="1685" w:type="dxa"/>
            <w:noWrap w:val="0"/>
            <w:vAlign w:val="center"/>
          </w:tcPr>
          <w:p>
            <w:pPr>
              <w:keepNext w:val="0"/>
              <w:keepLines w:val="0"/>
              <w:pageBreakBefore w:val="0"/>
              <w:kinsoku/>
              <w:wordWrap/>
              <w:overflowPunct/>
              <w:topLinePunct w:val="0"/>
              <w:autoSpaceDE/>
              <w:autoSpaceDN/>
              <w:bidi w:val="0"/>
              <w:adjustRightInd/>
              <w:snapToGrid w:val="0"/>
              <w:spacing w:line="0" w:lineRule="atLeast"/>
              <w:ind w:left="0" w:leftChars="0" w:right="0" w:rightChars="0" w:firstLine="0" w:firstLineChars="0"/>
              <w:textAlignment w:val="auto"/>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重大社会影响</w:t>
            </w:r>
          </w:p>
        </w:tc>
        <w:tc>
          <w:tcPr>
            <w:tcW w:w="2151" w:type="dxa"/>
            <w:noWrap w:val="0"/>
            <w:vAlign w:val="center"/>
          </w:tcPr>
          <w:p>
            <w:pPr>
              <w:keepNext w:val="0"/>
              <w:keepLines w:val="0"/>
              <w:pageBreakBefore w:val="0"/>
              <w:kinsoku/>
              <w:wordWrap/>
              <w:overflowPunct/>
              <w:topLinePunct w:val="0"/>
              <w:autoSpaceDE/>
              <w:autoSpaceDN/>
              <w:bidi w:val="0"/>
              <w:adjustRightInd/>
              <w:snapToGrid w:val="0"/>
              <w:spacing w:beforeLines="0" w:afterLines="0" w:line="0" w:lineRule="atLeast"/>
              <w:ind w:firstLine="0" w:firstLineChars="0"/>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由省政府启动。</w:t>
            </w:r>
            <w:r>
              <w:rPr>
                <w:rFonts w:hint="eastAsia" w:ascii="宋体" w:hAnsi="宋体" w:eastAsia="宋体" w:cs="宋体"/>
                <w:color w:val="auto"/>
                <w:sz w:val="22"/>
                <w:szCs w:val="22"/>
                <w:lang w:val="en-US" w:eastAsia="zh-CN"/>
              </w:rPr>
              <w:t>市</w:t>
            </w:r>
            <w:r>
              <w:rPr>
                <w:rFonts w:hint="eastAsia" w:ascii="宋体" w:hAnsi="宋体" w:eastAsia="宋体" w:cs="宋体"/>
                <w:color w:val="auto"/>
                <w:sz w:val="22"/>
                <w:szCs w:val="22"/>
              </w:rPr>
              <w:t>政府启动</w:t>
            </w:r>
            <w:r>
              <w:rPr>
                <w:rFonts w:hint="eastAsia" w:ascii="宋体" w:hAnsi="宋体" w:eastAsia="宋体" w:cs="宋体"/>
                <w:b/>
                <w:bCs/>
                <w:color w:val="auto"/>
                <w:sz w:val="22"/>
                <w:szCs w:val="22"/>
              </w:rPr>
              <w:t>Ⅲ</w:t>
            </w:r>
            <w:r>
              <w:rPr>
                <w:rFonts w:hint="eastAsia" w:ascii="宋体" w:hAnsi="宋体" w:eastAsia="宋体" w:cs="宋体"/>
                <w:color w:val="auto"/>
                <w:sz w:val="22"/>
                <w:szCs w:val="22"/>
              </w:rPr>
              <w:t>级应急响应进行先期处置。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4281" w:type="dxa"/>
            <w:noWrap w:val="0"/>
            <w:vAlign w:val="center"/>
          </w:tcPr>
          <w:p>
            <w:pPr>
              <w:keepNext w:val="0"/>
              <w:keepLines w:val="0"/>
              <w:pageBreakBefore w:val="0"/>
              <w:widowControl/>
              <w:kinsoku/>
              <w:wordWrap/>
              <w:overflowPunct/>
              <w:topLinePunct w:val="0"/>
              <w:autoSpaceDE/>
              <w:autoSpaceDN/>
              <w:bidi w:val="0"/>
              <w:adjustRightInd/>
              <w:spacing w:beforeLines="0" w:afterLines="0" w:line="0" w:lineRule="atLeast"/>
              <w:ind w:firstLine="0" w:firstLineChars="0"/>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较大</w:t>
            </w:r>
            <w:r>
              <w:rPr>
                <w:rFonts w:hint="eastAsia" w:ascii="宋体" w:hAnsi="宋体" w:eastAsia="宋体" w:cs="宋体"/>
                <w:b/>
                <w:bCs/>
                <w:color w:val="auto"/>
                <w:sz w:val="22"/>
                <w:szCs w:val="22"/>
                <w:lang w:val="en-US" w:eastAsia="zh-CN"/>
              </w:rPr>
              <w:t>烟花爆竹生产安全</w:t>
            </w:r>
            <w:r>
              <w:rPr>
                <w:rFonts w:hint="eastAsia" w:ascii="宋体" w:hAnsi="宋体" w:eastAsia="宋体" w:cs="宋体"/>
                <w:b/>
                <w:bCs/>
                <w:color w:val="auto"/>
                <w:sz w:val="22"/>
                <w:szCs w:val="22"/>
              </w:rPr>
              <w:t>事故（Ⅲ级）:</w:t>
            </w:r>
          </w:p>
          <w:p>
            <w:pPr>
              <w:keepNext w:val="0"/>
              <w:keepLines w:val="0"/>
              <w:pageBreakBefore w:val="0"/>
              <w:kinsoku/>
              <w:wordWrap/>
              <w:overflowPunct/>
              <w:topLinePunct w:val="0"/>
              <w:autoSpaceDE/>
              <w:autoSpaceDN/>
              <w:bidi w:val="0"/>
              <w:adjustRightInd/>
              <w:spacing w:beforeLines="0" w:afterLines="0" w:line="0" w:lineRule="atLeas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1、造成3人以上、10人以下死亡（含失踪），或危及3人以上、10人以下生命安全，或者10人以上、50人以下中毒（重伤），或者直接经济损失5000万元以下的生产安全事故；</w:t>
            </w:r>
          </w:p>
          <w:p>
            <w:pPr>
              <w:keepNext w:val="0"/>
              <w:keepLines w:val="0"/>
              <w:pageBreakBefore w:val="0"/>
              <w:kinsoku/>
              <w:wordWrap/>
              <w:overflowPunct/>
              <w:topLinePunct w:val="0"/>
              <w:autoSpaceDE/>
              <w:autoSpaceDN/>
              <w:bidi w:val="0"/>
              <w:adjustRightInd/>
              <w:spacing w:beforeLines="0" w:afterLines="0" w:line="0" w:lineRule="atLeas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2、超出县级政府应急处置能力的生产安全事故；</w:t>
            </w:r>
          </w:p>
          <w:p>
            <w:pPr>
              <w:keepNext w:val="0"/>
              <w:keepLines w:val="0"/>
              <w:pageBreakBefore w:val="0"/>
              <w:kinsoku/>
              <w:wordWrap/>
              <w:overflowPunct/>
              <w:topLinePunct w:val="0"/>
              <w:autoSpaceDE/>
              <w:autoSpaceDN/>
              <w:bidi w:val="0"/>
              <w:adjustRightInd/>
              <w:spacing w:beforeLines="0" w:afterLines="0" w:line="0" w:lineRule="atLeas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3、发生跨县级行政区生产安全事故；</w:t>
            </w:r>
          </w:p>
          <w:p>
            <w:pPr>
              <w:keepNext w:val="0"/>
              <w:keepLines w:val="0"/>
              <w:pageBreakBefore w:val="0"/>
              <w:kinsoku/>
              <w:wordWrap/>
              <w:overflowPunct/>
              <w:topLinePunct w:val="0"/>
              <w:autoSpaceDE/>
              <w:autoSpaceDN/>
              <w:bidi w:val="0"/>
              <w:adjustRightInd/>
              <w:spacing w:beforeLines="0" w:afterLines="0" w:line="0" w:lineRule="atLeast"/>
              <w:ind w:firstLine="0" w:firstLineChars="0"/>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4、设区市以上政府认为有需要响应的事故。</w:t>
            </w:r>
          </w:p>
        </w:tc>
        <w:tc>
          <w:tcPr>
            <w:tcW w:w="866" w:type="dxa"/>
            <w:noWrap w:val="0"/>
            <w:vAlign w:val="center"/>
          </w:tcPr>
          <w:p>
            <w:pPr>
              <w:keepNext w:val="0"/>
              <w:keepLines w:val="0"/>
              <w:pageBreakBefore w:val="0"/>
              <w:kinsoku/>
              <w:wordWrap/>
              <w:overflowPunct/>
              <w:topLinePunct w:val="0"/>
              <w:autoSpaceDE/>
              <w:autoSpaceDN/>
              <w:bidi w:val="0"/>
              <w:adjustRightInd/>
              <w:snapToGrid w:val="0"/>
              <w:spacing w:beforeLines="0" w:afterLines="0" w:line="0" w:lineRule="atLeast"/>
              <w:ind w:firstLine="0" w:firstLineChars="0"/>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较重</w:t>
            </w:r>
          </w:p>
          <w:p>
            <w:pPr>
              <w:keepNext w:val="0"/>
              <w:keepLines w:val="0"/>
              <w:pageBreakBefore w:val="0"/>
              <w:kinsoku/>
              <w:wordWrap/>
              <w:overflowPunct/>
              <w:topLinePunct w:val="0"/>
              <w:autoSpaceDE/>
              <w:autoSpaceDN/>
              <w:bidi w:val="0"/>
              <w:adjustRightInd/>
              <w:snapToGrid w:val="0"/>
              <w:spacing w:beforeLines="0" w:afterLines="0" w:line="0" w:lineRule="atLeast"/>
              <w:ind w:firstLine="0" w:firstLineChars="0"/>
              <w:jc w:val="center"/>
              <w:textAlignment w:val="auto"/>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sz w:val="22"/>
                <w:szCs w:val="22"/>
              </w:rPr>
              <w:t>Ⅲ</w:t>
            </w:r>
          </w:p>
        </w:tc>
        <w:tc>
          <w:tcPr>
            <w:tcW w:w="1685" w:type="dxa"/>
            <w:noWrap w:val="0"/>
            <w:vAlign w:val="center"/>
          </w:tcPr>
          <w:p>
            <w:pPr>
              <w:keepNext w:val="0"/>
              <w:keepLines w:val="0"/>
              <w:pageBreakBefore w:val="0"/>
              <w:widowControl/>
              <w:kinsoku/>
              <w:wordWrap/>
              <w:overflowPunct/>
              <w:topLinePunct w:val="0"/>
              <w:autoSpaceDE/>
              <w:autoSpaceDN/>
              <w:bidi w:val="0"/>
              <w:adjustRightInd/>
              <w:spacing w:line="0" w:lineRule="atLeast"/>
              <w:ind w:left="0" w:leftChars="0" w:right="0" w:rightChars="0" w:firstLine="0" w:firstLineChars="0"/>
              <w:textAlignment w:val="auto"/>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较大社会影响</w:t>
            </w:r>
          </w:p>
        </w:tc>
        <w:tc>
          <w:tcPr>
            <w:tcW w:w="2151" w:type="dxa"/>
            <w:noWrap w:val="0"/>
            <w:vAlign w:val="center"/>
          </w:tcPr>
          <w:p>
            <w:pPr>
              <w:keepNext w:val="0"/>
              <w:keepLines w:val="0"/>
              <w:pageBreakBefore w:val="0"/>
              <w:widowControl/>
              <w:kinsoku/>
              <w:wordWrap/>
              <w:overflowPunct/>
              <w:topLinePunct w:val="0"/>
              <w:autoSpaceDE/>
              <w:autoSpaceDN/>
              <w:bidi w:val="0"/>
              <w:adjustRightInd/>
              <w:spacing w:beforeLines="0" w:afterLines="0" w:line="0" w:lineRule="atLeast"/>
              <w:ind w:firstLine="0" w:firstLineChars="0"/>
              <w:textAlignment w:val="auto"/>
              <w:rPr>
                <w:rFonts w:hint="default"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由</w:t>
            </w:r>
            <w:r>
              <w:rPr>
                <w:rFonts w:hint="eastAsia" w:ascii="宋体" w:hAnsi="宋体" w:eastAsia="宋体" w:cs="宋体"/>
                <w:color w:val="auto"/>
                <w:sz w:val="22"/>
                <w:szCs w:val="22"/>
                <w:lang w:val="en-US" w:eastAsia="zh-CN"/>
              </w:rPr>
              <w:t>市</w:t>
            </w:r>
            <w:r>
              <w:rPr>
                <w:rFonts w:hint="eastAsia" w:ascii="宋体" w:hAnsi="宋体" w:eastAsia="宋体" w:cs="宋体"/>
                <w:color w:val="auto"/>
                <w:sz w:val="22"/>
                <w:szCs w:val="22"/>
              </w:rPr>
              <w:t>政府启动。</w:t>
            </w:r>
            <w:r>
              <w:rPr>
                <w:rFonts w:hint="eastAsia" w:ascii="宋体" w:hAnsi="宋体" w:eastAsia="宋体" w:cs="宋体"/>
                <w:color w:val="auto"/>
                <w:sz w:val="22"/>
                <w:szCs w:val="22"/>
                <w:lang w:val="en-US" w:eastAsia="zh-CN"/>
              </w:rPr>
              <w:t>县</w:t>
            </w:r>
            <w:r>
              <w:rPr>
                <w:rFonts w:hint="eastAsia" w:ascii="宋体" w:hAnsi="宋体" w:eastAsia="宋体" w:cs="宋体"/>
                <w:color w:val="auto"/>
                <w:sz w:val="22"/>
                <w:szCs w:val="22"/>
              </w:rPr>
              <w:t>政府启动Ⅳ级应急响应进行先期处置。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1" w:type="dxa"/>
            <w:noWrap w:val="0"/>
            <w:vAlign w:val="center"/>
          </w:tcPr>
          <w:p>
            <w:pPr>
              <w:keepNext w:val="0"/>
              <w:keepLines w:val="0"/>
              <w:pageBreakBefore w:val="0"/>
              <w:widowControl/>
              <w:kinsoku/>
              <w:wordWrap/>
              <w:overflowPunct/>
              <w:topLinePunct w:val="0"/>
              <w:autoSpaceDE/>
              <w:autoSpaceDN/>
              <w:bidi w:val="0"/>
              <w:adjustRightInd/>
              <w:spacing w:beforeLines="0" w:afterLines="0" w:line="0" w:lineRule="atLeast"/>
              <w:ind w:firstLine="0" w:firstLineChars="0"/>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一般</w:t>
            </w:r>
            <w:r>
              <w:rPr>
                <w:rFonts w:hint="eastAsia" w:ascii="宋体" w:hAnsi="宋体" w:eastAsia="宋体" w:cs="宋体"/>
                <w:b/>
                <w:bCs/>
                <w:color w:val="auto"/>
                <w:sz w:val="22"/>
                <w:szCs w:val="22"/>
                <w:lang w:val="en-US" w:eastAsia="zh-CN"/>
              </w:rPr>
              <w:t>烟花爆竹生产安全</w:t>
            </w:r>
            <w:r>
              <w:rPr>
                <w:rFonts w:hint="eastAsia" w:ascii="宋体" w:hAnsi="宋体" w:eastAsia="宋体" w:cs="宋体"/>
                <w:b/>
                <w:bCs/>
                <w:color w:val="auto"/>
                <w:sz w:val="22"/>
                <w:szCs w:val="22"/>
              </w:rPr>
              <w:t>事故（Ⅳ级）:</w:t>
            </w:r>
          </w:p>
          <w:p>
            <w:pPr>
              <w:keepNext w:val="0"/>
              <w:keepLines w:val="0"/>
              <w:pageBreakBefore w:val="0"/>
              <w:widowControl/>
              <w:kinsoku/>
              <w:wordWrap/>
              <w:overflowPunct/>
              <w:topLinePunct w:val="0"/>
              <w:autoSpaceDE/>
              <w:autoSpaceDN/>
              <w:bidi w:val="0"/>
              <w:adjustRightInd/>
              <w:spacing w:beforeLines="0" w:afterLines="0" w:line="0" w:lineRule="atLeast"/>
              <w:ind w:firstLine="0" w:firstLineChars="0"/>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造成3人以下死亡，或者10人以下重伤，或者1000万元以下直接经济损失的事故。</w:t>
            </w:r>
          </w:p>
        </w:tc>
        <w:tc>
          <w:tcPr>
            <w:tcW w:w="866" w:type="dxa"/>
            <w:noWrap w:val="0"/>
            <w:vAlign w:val="center"/>
          </w:tcPr>
          <w:p>
            <w:pPr>
              <w:keepNext w:val="0"/>
              <w:keepLines w:val="0"/>
              <w:pageBreakBefore w:val="0"/>
              <w:kinsoku/>
              <w:wordWrap/>
              <w:overflowPunct/>
              <w:topLinePunct w:val="0"/>
              <w:autoSpaceDE/>
              <w:autoSpaceDN/>
              <w:bidi w:val="0"/>
              <w:adjustRightInd/>
              <w:snapToGrid w:val="0"/>
              <w:spacing w:beforeLines="0" w:afterLines="0" w:line="0" w:lineRule="atLeast"/>
              <w:ind w:firstLine="0" w:firstLineChars="0"/>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一般</w:t>
            </w:r>
          </w:p>
          <w:p>
            <w:pPr>
              <w:keepNext w:val="0"/>
              <w:keepLines w:val="0"/>
              <w:pageBreakBefore w:val="0"/>
              <w:kinsoku/>
              <w:wordWrap/>
              <w:overflowPunct/>
              <w:topLinePunct w:val="0"/>
              <w:autoSpaceDE/>
              <w:autoSpaceDN/>
              <w:bidi w:val="0"/>
              <w:adjustRightInd/>
              <w:snapToGrid w:val="0"/>
              <w:spacing w:beforeLines="0" w:afterLines="0" w:line="0" w:lineRule="atLeast"/>
              <w:ind w:firstLine="0" w:firstLineChars="0"/>
              <w:jc w:val="center"/>
              <w:textAlignment w:val="auto"/>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sz w:val="22"/>
                <w:szCs w:val="22"/>
              </w:rPr>
              <w:t>Ⅳ</w:t>
            </w:r>
          </w:p>
        </w:tc>
        <w:tc>
          <w:tcPr>
            <w:tcW w:w="1685" w:type="dxa"/>
            <w:noWrap w:val="0"/>
            <w:vAlign w:val="center"/>
          </w:tcPr>
          <w:p>
            <w:pPr>
              <w:keepNext w:val="0"/>
              <w:keepLines w:val="0"/>
              <w:pageBreakBefore w:val="0"/>
              <w:widowControl/>
              <w:kinsoku/>
              <w:wordWrap/>
              <w:overflowPunct/>
              <w:topLinePunct w:val="0"/>
              <w:autoSpaceDE/>
              <w:autoSpaceDN/>
              <w:bidi w:val="0"/>
              <w:adjustRightInd/>
              <w:spacing w:line="0" w:lineRule="atLeast"/>
              <w:ind w:left="0" w:leftChars="0" w:right="0" w:rightChars="0" w:firstLine="0" w:firstLineChars="0"/>
              <w:textAlignment w:val="auto"/>
              <w:outlineLvl w:val="9"/>
              <w:rPr>
                <w:rFonts w:hint="eastAsia" w:ascii="宋体" w:hAnsi="宋体" w:eastAsia="宋体" w:cs="宋体"/>
                <w:color w:val="auto"/>
                <w:kern w:val="2"/>
                <w:sz w:val="22"/>
                <w:szCs w:val="22"/>
                <w:lang w:val="en-US" w:eastAsia="zh-CN" w:bidi="ar-SA"/>
              </w:rPr>
            </w:pPr>
            <w:r>
              <w:rPr>
                <w:rFonts w:hint="default" w:ascii="宋体" w:hAnsi="宋体" w:eastAsia="宋体" w:cs="宋体"/>
                <w:color w:val="auto"/>
                <w:kern w:val="2"/>
                <w:sz w:val="22"/>
                <w:szCs w:val="22"/>
                <w:lang w:val="en-US" w:eastAsia="zh-CN" w:bidi="ar-SA"/>
              </w:rPr>
              <w:t>一定社会影响</w:t>
            </w:r>
          </w:p>
        </w:tc>
        <w:tc>
          <w:tcPr>
            <w:tcW w:w="2151" w:type="dxa"/>
            <w:noWrap w:val="0"/>
            <w:vAlign w:val="center"/>
          </w:tcPr>
          <w:p>
            <w:pPr>
              <w:keepNext w:val="0"/>
              <w:keepLines w:val="0"/>
              <w:pageBreakBefore w:val="0"/>
              <w:widowControl/>
              <w:kinsoku/>
              <w:wordWrap/>
              <w:overflowPunct/>
              <w:topLinePunct w:val="0"/>
              <w:autoSpaceDE/>
              <w:autoSpaceDN/>
              <w:bidi w:val="0"/>
              <w:adjustRightInd/>
              <w:spacing w:beforeLines="0" w:afterLines="0" w:line="0" w:lineRule="atLeast"/>
              <w:ind w:firstLine="0" w:firstLineChars="0"/>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由</w:t>
            </w:r>
            <w:r>
              <w:rPr>
                <w:rFonts w:hint="eastAsia" w:ascii="宋体" w:hAnsi="宋体" w:eastAsia="宋体" w:cs="宋体"/>
                <w:color w:val="auto"/>
                <w:sz w:val="22"/>
                <w:szCs w:val="22"/>
                <w:lang w:val="en-US" w:eastAsia="zh-CN"/>
              </w:rPr>
              <w:t>县</w:t>
            </w:r>
            <w:r>
              <w:rPr>
                <w:rFonts w:hint="eastAsia" w:ascii="宋体" w:hAnsi="宋体" w:eastAsia="宋体" w:cs="宋体"/>
                <w:color w:val="auto"/>
                <w:sz w:val="22"/>
                <w:szCs w:val="22"/>
              </w:rPr>
              <w:t>政府启动。在</w:t>
            </w:r>
            <w:r>
              <w:rPr>
                <w:rFonts w:hint="eastAsia" w:ascii="宋体" w:hAnsi="宋体" w:eastAsia="宋体" w:cs="宋体"/>
                <w:color w:val="auto"/>
                <w:sz w:val="22"/>
                <w:szCs w:val="22"/>
                <w:lang w:val="en-US" w:eastAsia="zh-CN"/>
              </w:rPr>
              <w:t>县政府</w:t>
            </w:r>
            <w:r>
              <w:rPr>
                <w:rFonts w:hint="eastAsia" w:ascii="宋体" w:hAnsi="宋体" w:eastAsia="宋体" w:cs="宋体"/>
                <w:color w:val="auto"/>
                <w:sz w:val="22"/>
                <w:szCs w:val="22"/>
              </w:rPr>
              <w:t>启动Ⅳ响应时，市进入预警状态。领导小组和有关监管部门派出工作组到现场指导处置工作。</w:t>
            </w:r>
          </w:p>
        </w:tc>
      </w:tr>
    </w:tbl>
    <w:p>
      <w:pPr>
        <w:keepNext w:val="0"/>
        <w:keepLines w:val="0"/>
        <w:pageBreakBefore w:val="0"/>
        <w:widowControl/>
        <w:kinsoku/>
        <w:wordWrap/>
        <w:overflowPunct/>
        <w:topLinePunct w:val="0"/>
        <w:autoSpaceDE/>
        <w:autoSpaceDN/>
        <w:bidi w:val="0"/>
        <w:adjustRightInd/>
        <w:spacing w:beforeLines="0" w:afterLines="0" w:line="0" w:lineRule="atLeast"/>
        <w:ind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注1：表中所列数据以上含本数，以下不含本数。</w:t>
      </w:r>
    </w:p>
    <w:p>
      <w:pPr>
        <w:keepNext w:val="0"/>
        <w:keepLines w:val="0"/>
        <w:pageBreakBefore w:val="0"/>
        <w:widowControl/>
        <w:kinsoku/>
        <w:wordWrap/>
        <w:overflowPunct/>
        <w:topLinePunct w:val="0"/>
        <w:autoSpaceDE/>
        <w:autoSpaceDN/>
        <w:bidi w:val="0"/>
        <w:adjustRightInd/>
        <w:spacing w:beforeLines="0" w:afterLines="0" w:line="0" w:lineRule="atLeast"/>
        <w:ind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注2：表中事故后果对于险情为可能造成的后果。</w:t>
      </w:r>
    </w:p>
    <w:p>
      <w:pPr>
        <w:pStyle w:val="2"/>
        <w:rPr>
          <w:rFonts w:hint="eastAsia" w:ascii="宋体" w:hAnsi="宋体" w:eastAsia="宋体" w:cs="宋体"/>
          <w:color w:val="auto"/>
          <w:sz w:val="24"/>
          <w:szCs w:val="24"/>
          <w:lang w:eastAsia="zh-CN"/>
        </w:rPr>
      </w:pPr>
    </w:p>
    <w:p>
      <w:pPr>
        <w:rPr>
          <w:rFonts w:hint="eastAsia" w:ascii="宋体" w:hAnsi="宋体" w:eastAsia="宋体" w:cs="宋体"/>
          <w:color w:val="auto"/>
          <w:sz w:val="24"/>
          <w:szCs w:val="24"/>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0"/>
        <w:rPr>
          <w:rFonts w:hint="eastAsia" w:ascii="方正黑体简体" w:hAnsi="方正黑体简体" w:eastAsia="方正黑体简体" w:cs="方正黑体简体"/>
          <w:sz w:val="32"/>
          <w:szCs w:val="32"/>
        </w:rPr>
      </w:pPr>
      <w:bookmarkStart w:id="151" w:name="_Toc13862"/>
      <w:r>
        <w:rPr>
          <w:rFonts w:hint="eastAsia" w:ascii="方正黑体简体" w:hAnsi="方正黑体简体" w:eastAsia="方正黑体简体" w:cs="方正黑体简体"/>
          <w:sz w:val="32"/>
          <w:szCs w:val="32"/>
        </w:rPr>
        <w:t>附件2</w:t>
      </w:r>
      <w:bookmarkEnd w:id="151"/>
    </w:p>
    <w:p>
      <w:pPr>
        <w:adjustRightInd w:val="0"/>
        <w:snapToGrid w:val="0"/>
        <w:spacing w:line="360" w:lineRule="atLeast"/>
        <w:jc w:val="center"/>
        <w:rPr>
          <w:rFonts w:hint="eastAsia" w:ascii="方正小标宋简体" w:hAnsi="微软雅黑" w:eastAsia="方正小标宋简体" w:cs="宋体"/>
          <w:color w:val="000000"/>
          <w:kern w:val="0"/>
          <w:sz w:val="44"/>
          <w:szCs w:val="44"/>
          <w:lang w:eastAsia="zh-CN"/>
        </w:rPr>
      </w:pPr>
      <w:r>
        <w:rPr>
          <w:rFonts w:hint="eastAsia" w:ascii="方正小标宋简体" w:hAnsi="微软雅黑" w:eastAsia="方正小标宋简体" w:cs="宋体"/>
          <w:color w:val="000000"/>
          <w:kern w:val="0"/>
          <w:sz w:val="44"/>
          <w:szCs w:val="44"/>
          <w:lang w:eastAsia="zh-CN"/>
        </w:rPr>
        <w:t>事故应急响应流程图</w:t>
      </w:r>
    </w:p>
    <w:p>
      <w:pPr>
        <w:ind w:left="0" w:leftChars="0" w:right="-76" w:rightChars="-36" w:firstLine="0" w:firstLineChars="0"/>
        <w:jc w:val="center"/>
        <w:rPr>
          <w:rFonts w:ascii="仿宋" w:hAnsi="仿宋" w:eastAsia="仿宋" w:cs="Times New Roman"/>
          <w:color w:val="auto"/>
          <w:sz w:val="32"/>
          <w:szCs w:val="32"/>
        </w:rPr>
      </w:pPr>
    </w:p>
    <w:p>
      <w:pPr>
        <w:rPr>
          <w:rFonts w:hint="eastAsia" w:ascii="方正黑体简体" w:hAnsi="方正黑体简体" w:eastAsia="方正黑体简体" w:cs="方正黑体简体"/>
        </w:rPr>
      </w:pPr>
      <w:r>
        <w:drawing>
          <wp:inline distT="0" distB="0" distL="114300" distR="114300">
            <wp:extent cx="5270500" cy="6311265"/>
            <wp:effectExtent l="0" t="0" r="6350" b="1333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270500" cy="6311265"/>
                    </a:xfrm>
                    <a:prstGeom prst="rect">
                      <a:avLst/>
                    </a:prstGeom>
                    <a:noFill/>
                    <a:ln>
                      <a:noFill/>
                    </a:ln>
                  </pic:spPr>
                </pic:pic>
              </a:graphicData>
            </a:graphic>
          </wp:inline>
        </w:drawing>
      </w:r>
      <w:r>
        <w:rPr>
          <w:rFonts w:ascii="方正黑体简体" w:hAnsi="方正黑体简体" w:cs="Courier New"/>
          <w:color w:val="auto"/>
          <w:sz w:val="32"/>
          <w:szCs w:val="32"/>
        </w:rPr>
        <w:br w:type="page"/>
      </w:r>
      <w:r>
        <w:rPr>
          <w:rFonts w:hint="eastAsia" w:ascii="方正黑体简体" w:hAnsi="方正黑体简体" w:eastAsia="方正黑体简体" w:cs="方正黑体简体"/>
          <w:sz w:val="32"/>
          <w:szCs w:val="32"/>
        </w:rPr>
        <w:t>附件</w:t>
      </w:r>
      <w:r>
        <w:rPr>
          <w:rFonts w:hint="eastAsia" w:ascii="方正黑体简体" w:hAnsi="方正黑体简体" w:eastAsia="方正黑体简体" w:cs="方正黑体简体"/>
          <w:sz w:val="32"/>
          <w:szCs w:val="32"/>
          <w:lang w:val="en-US" w:eastAsia="zh-CN"/>
        </w:rPr>
        <w:t>3</w:t>
      </w:r>
    </w:p>
    <w:p>
      <w:pPr>
        <w:adjustRightInd w:val="0"/>
        <w:snapToGrid w:val="0"/>
        <w:spacing w:line="360" w:lineRule="atLeast"/>
        <w:jc w:val="center"/>
        <w:outlineLvl w:val="0"/>
        <w:rPr>
          <w:rFonts w:hint="eastAsia" w:ascii="方正小标宋简体" w:hAnsi="微软雅黑" w:eastAsia="方正小标宋简体" w:cs="宋体"/>
          <w:color w:val="000000"/>
          <w:kern w:val="0"/>
          <w:sz w:val="44"/>
          <w:szCs w:val="44"/>
          <w:lang w:val="en-US" w:eastAsia="zh-CN"/>
        </w:rPr>
      </w:pPr>
      <w:bookmarkStart w:id="152" w:name="_Toc14945"/>
      <w:r>
        <w:rPr>
          <w:rFonts w:hint="eastAsia" w:ascii="方正小标宋简体" w:hAnsi="微软雅黑" w:eastAsia="方正小标宋简体" w:cs="宋体"/>
          <w:color w:val="000000"/>
          <w:kern w:val="0"/>
          <w:sz w:val="44"/>
          <w:szCs w:val="44"/>
          <w:lang w:eastAsia="zh-CN"/>
        </w:rPr>
        <w:t>县</w:t>
      </w:r>
      <w:r>
        <w:rPr>
          <w:rFonts w:hint="eastAsia" w:ascii="方正小标宋简体" w:hAnsi="微软雅黑" w:eastAsia="方正小标宋简体" w:cs="宋体"/>
          <w:color w:val="000000"/>
          <w:kern w:val="0"/>
          <w:sz w:val="44"/>
          <w:szCs w:val="44"/>
          <w:lang w:val="en-US" w:eastAsia="zh-CN"/>
        </w:rPr>
        <w:t>烟花爆竹生产安全</w:t>
      </w:r>
      <w:r>
        <w:rPr>
          <w:rFonts w:hint="eastAsia" w:ascii="方正小标宋简体" w:hAnsi="微软雅黑" w:eastAsia="方正小标宋简体" w:cs="宋体"/>
          <w:color w:val="000000"/>
          <w:kern w:val="0"/>
          <w:sz w:val="44"/>
          <w:szCs w:val="44"/>
          <w:lang w:eastAsia="zh-CN"/>
        </w:rPr>
        <w:t>事故应急</w:t>
      </w:r>
      <w:r>
        <w:rPr>
          <w:rFonts w:hint="eastAsia" w:ascii="方正小标宋简体" w:hAnsi="微软雅黑" w:eastAsia="方正小标宋简体" w:cs="宋体"/>
          <w:color w:val="000000"/>
          <w:kern w:val="0"/>
          <w:sz w:val="44"/>
          <w:szCs w:val="44"/>
          <w:lang w:val="en-US" w:eastAsia="zh-CN"/>
        </w:rPr>
        <w:t>组织体系图</w:t>
      </w:r>
      <w:bookmarkEnd w:id="152"/>
    </w:p>
    <w:p>
      <w:pPr>
        <w:pStyle w:val="2"/>
        <w:rPr>
          <w:rFonts w:hint="default"/>
          <w:lang w:val="en-US" w:eastAsia="zh-CN"/>
        </w:rPr>
      </w:pPr>
    </w:p>
    <w:p>
      <w:r>
        <w:drawing>
          <wp:inline distT="0" distB="0" distL="114300" distR="114300">
            <wp:extent cx="5273675" cy="3013075"/>
            <wp:effectExtent l="0" t="0" r="3175" b="15875"/>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6"/>
                    <a:stretch>
                      <a:fillRect/>
                    </a:stretch>
                  </pic:blipFill>
                  <pic:spPr>
                    <a:xfrm>
                      <a:off x="0" y="0"/>
                      <a:ext cx="5273675" cy="3013075"/>
                    </a:xfrm>
                    <a:prstGeom prst="rect">
                      <a:avLst/>
                    </a:prstGeom>
                    <a:noFill/>
                    <a:ln>
                      <a:noFill/>
                    </a:ln>
                  </pic:spPr>
                </pic:pic>
              </a:graphicData>
            </a:graphic>
          </wp:inline>
        </w:drawing>
      </w:r>
    </w:p>
    <w:p>
      <w:pPr>
        <w:pStyle w:val="2"/>
      </w:pPr>
    </w:p>
    <w:p/>
    <w:p>
      <w:pPr>
        <w:pStyle w:val="2"/>
      </w:pPr>
    </w:p>
    <w:p/>
    <w:p>
      <w:pPr>
        <w:pStyle w:val="2"/>
      </w:pPr>
    </w:p>
    <w:p/>
    <w:p>
      <w:pPr>
        <w:pStyle w:val="2"/>
      </w:pPr>
    </w:p>
    <w:p/>
    <w:p>
      <w:pPr>
        <w:pStyle w:val="2"/>
      </w:pPr>
    </w:p>
    <w:p/>
    <w:p>
      <w:pPr>
        <w:pStyle w:val="2"/>
      </w:pPr>
    </w:p>
    <w:p/>
    <w:p>
      <w:pPr>
        <w:pStyle w:val="2"/>
      </w:pPr>
    </w:p>
    <w:p/>
    <w:p>
      <w:pPr>
        <w:pStyle w:val="2"/>
      </w:pPr>
    </w:p>
    <w:p/>
    <w:p/>
    <w:p>
      <w:pPr>
        <w:pStyle w:val="2"/>
      </w:pPr>
    </w:p>
    <w:p>
      <w:pPr>
        <w:ind w:left="0" w:leftChars="0" w:firstLine="0" w:firstLineChars="0"/>
        <w:outlineLvl w:val="0"/>
        <w:rPr>
          <w:rFonts w:hint="eastAsia" w:ascii="方正黑体简体" w:hAnsi="方正黑体简体" w:eastAsia="方正黑体简体" w:cs="方正黑体简体"/>
          <w:sz w:val="32"/>
          <w:szCs w:val="32"/>
          <w:lang w:val="en-US" w:eastAsia="zh-CN"/>
        </w:rPr>
      </w:pPr>
      <w:bookmarkStart w:id="153" w:name="_Toc16508"/>
      <w:r>
        <w:rPr>
          <w:rFonts w:hint="eastAsia" w:ascii="方正黑体简体" w:hAnsi="方正黑体简体" w:eastAsia="方正黑体简体" w:cs="方正黑体简体"/>
          <w:sz w:val="32"/>
          <w:szCs w:val="32"/>
        </w:rPr>
        <w:t>附件</w:t>
      </w:r>
      <w:r>
        <w:rPr>
          <w:rFonts w:hint="eastAsia" w:ascii="方正黑体简体" w:hAnsi="方正黑体简体" w:eastAsia="方正黑体简体" w:cs="方正黑体简体"/>
          <w:sz w:val="32"/>
          <w:szCs w:val="32"/>
          <w:lang w:val="en-US" w:eastAsia="zh-CN"/>
        </w:rPr>
        <w:t>4</w:t>
      </w:r>
      <w:bookmarkEnd w:id="153"/>
    </w:p>
    <w:p>
      <w:pPr>
        <w:pStyle w:val="3"/>
        <w:jc w:val="center"/>
        <w:outlineLvl w:val="0"/>
        <w:rPr>
          <w:rFonts w:hint="eastAsia" w:ascii="方正小标宋简体" w:hAnsi="微软雅黑" w:eastAsia="方正小标宋简体" w:cs="宋体"/>
          <w:color w:val="000000"/>
          <w:kern w:val="0"/>
          <w:sz w:val="44"/>
          <w:szCs w:val="44"/>
          <w:lang w:val="en-US" w:eastAsia="zh-CN" w:bidi="ar-SA"/>
        </w:rPr>
      </w:pPr>
      <w:bookmarkStart w:id="154" w:name="_Toc953"/>
      <w:r>
        <w:rPr>
          <w:rFonts w:hint="eastAsia" w:ascii="方正小标宋简体" w:hAnsi="微软雅黑" w:eastAsia="方正小标宋简体" w:cs="宋体"/>
          <w:color w:val="000000"/>
          <w:kern w:val="0"/>
          <w:sz w:val="44"/>
          <w:szCs w:val="44"/>
          <w:lang w:val="en-US" w:eastAsia="zh-CN" w:bidi="ar-SA"/>
        </w:rPr>
        <w:t>永泰县救援队应急救援装备及物资情况表</w:t>
      </w:r>
      <w:bookmarkEnd w:id="154"/>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462"/>
        <w:gridCol w:w="920"/>
        <w:gridCol w:w="2477"/>
        <w:gridCol w:w="1836"/>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6"/>
            <w:noWrap w:val="0"/>
            <w:vAlign w:val="center"/>
          </w:tcPr>
          <w:p>
            <w:pPr>
              <w:jc w:val="center"/>
              <w:rPr>
                <w:rFonts w:hint="default"/>
                <w:vertAlign w:val="baseline"/>
                <w:lang w:val="en-US" w:eastAsia="zh-CN"/>
              </w:rPr>
            </w:pPr>
            <w:r>
              <w:rPr>
                <w:rFonts w:hint="default"/>
                <w:sz w:val="32"/>
                <w:szCs w:val="40"/>
                <w:vertAlign w:val="baseline"/>
                <w:lang w:val="en-US" w:eastAsia="zh-CN"/>
              </w:rPr>
              <w:t>永泰县</w:t>
            </w:r>
            <w:r>
              <w:rPr>
                <w:rFonts w:hint="eastAsia"/>
                <w:sz w:val="32"/>
                <w:szCs w:val="40"/>
                <w:vertAlign w:val="baseline"/>
                <w:lang w:val="en-US" w:eastAsia="zh-CN"/>
              </w:rPr>
              <w:t>专业救援队</w:t>
            </w:r>
            <w:r>
              <w:rPr>
                <w:rFonts w:hint="default"/>
                <w:sz w:val="32"/>
                <w:szCs w:val="40"/>
                <w:vertAlign w:val="baseline"/>
                <w:lang w:val="en-US" w:eastAsia="zh-CN"/>
              </w:rPr>
              <w:t>应急救援装备及物资情况表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05"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序号</w:t>
            </w:r>
          </w:p>
        </w:tc>
        <w:tc>
          <w:tcPr>
            <w:tcW w:w="1462"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应急队伍全称</w:t>
            </w:r>
          </w:p>
        </w:tc>
        <w:tc>
          <w:tcPr>
            <w:tcW w:w="920"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人员总数</w:t>
            </w:r>
          </w:p>
        </w:tc>
        <w:tc>
          <w:tcPr>
            <w:tcW w:w="2477"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救援机械设备及数量</w:t>
            </w:r>
          </w:p>
        </w:tc>
        <w:tc>
          <w:tcPr>
            <w:tcW w:w="1836"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救援物资及数量</w:t>
            </w:r>
          </w:p>
        </w:tc>
        <w:tc>
          <w:tcPr>
            <w:tcW w:w="1146"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永泰供电公司救援队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移动发电车1辆、无人机2架、高空作业车1辆、卫星电话1部、工业泵1台。</w:t>
            </w:r>
          </w:p>
        </w:tc>
        <w:tc>
          <w:tcPr>
            <w:tcW w:w="1836"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低压电力电缆、电力电缆、架空绝缘导线、交流避雷器、防洪袋、防洪沙袋等。</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人员不可调派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气象局救援队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477"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无</w:t>
            </w:r>
          </w:p>
        </w:tc>
        <w:tc>
          <w:tcPr>
            <w:tcW w:w="1836"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无</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民政局救援队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477"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小型无人机1架。</w:t>
            </w:r>
          </w:p>
        </w:tc>
        <w:tc>
          <w:tcPr>
            <w:tcW w:w="1836"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棉被51床、棉衣50件、毛毯30件、手电筒30个。</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1462" w:type="dxa"/>
            <w:noWrap w:val="0"/>
            <w:vAlign w:val="center"/>
          </w:tcPr>
          <w:p>
            <w:pPr>
              <w:keepNext w:val="0"/>
              <w:keepLines w:val="0"/>
              <w:widowControl/>
              <w:suppressLineNumbers w:val="0"/>
              <w:jc w:val="center"/>
              <w:textAlignment w:val="center"/>
              <w:rPr>
                <w:rFonts w:hint="eastAsia"/>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民用爆破有限公司救援队</w:t>
            </w:r>
          </w:p>
        </w:tc>
        <w:tc>
          <w:tcPr>
            <w:tcW w:w="920" w:type="dxa"/>
            <w:noWrap w:val="0"/>
            <w:vAlign w:val="center"/>
          </w:tcPr>
          <w:p>
            <w:pPr>
              <w:keepNext w:val="0"/>
              <w:keepLines w:val="0"/>
              <w:widowControl/>
              <w:suppressLineNumbers w:val="0"/>
              <w:jc w:val="center"/>
              <w:textAlignment w:val="center"/>
              <w:rPr>
                <w:rFonts w:hint="eastAsia"/>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17</w:t>
            </w:r>
          </w:p>
        </w:tc>
        <w:tc>
          <w:tcPr>
            <w:tcW w:w="2477" w:type="dxa"/>
            <w:noWrap w:val="0"/>
            <w:vAlign w:val="center"/>
          </w:tcPr>
          <w:p>
            <w:pPr>
              <w:keepNext w:val="0"/>
              <w:keepLines w:val="0"/>
              <w:widowControl/>
              <w:suppressLineNumbers w:val="0"/>
              <w:jc w:val="left"/>
              <w:textAlignment w:val="top"/>
              <w:rPr>
                <w:rFonts w:hint="eastAsia"/>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喊话器1台、三号灭火器14台、水枪2把。</w:t>
            </w:r>
          </w:p>
        </w:tc>
        <w:tc>
          <w:tcPr>
            <w:tcW w:w="1836" w:type="dxa"/>
            <w:noWrap w:val="0"/>
            <w:vAlign w:val="center"/>
          </w:tcPr>
          <w:p>
            <w:pPr>
              <w:keepNext w:val="0"/>
              <w:keepLines w:val="0"/>
              <w:widowControl/>
              <w:suppressLineNumbers w:val="0"/>
              <w:jc w:val="left"/>
              <w:textAlignment w:val="top"/>
              <w:rPr>
                <w:rFonts w:hint="eastAsia"/>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防汛灯具2台、防护头盔4个、应急灯5台、雨衣3件。</w:t>
            </w:r>
          </w:p>
        </w:tc>
        <w:tc>
          <w:tcPr>
            <w:tcW w:w="1146" w:type="dxa"/>
            <w:noWrap w:val="0"/>
            <w:vAlign w:val="center"/>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水电发展公司救援队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2477"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汽油发电机组2台、对讲机4部、潜水泵1台。</w:t>
            </w:r>
          </w:p>
        </w:tc>
        <w:tc>
          <w:tcPr>
            <w:tcW w:w="1836"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雨衣雨裤30套、雨鞋30双、铁锹10把、簸箕10担、编织袋2000个、救生衣30件、锄头10把。</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卫生防疫应急队伍</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477"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电动喷雾器（大）1台、（小）2台、手电喷雾器5台。</w:t>
            </w:r>
          </w:p>
        </w:tc>
        <w:tc>
          <w:tcPr>
            <w:tcW w:w="1836"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消毒液500瓶。</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商务局应急救援队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2477"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无</w:t>
            </w:r>
          </w:p>
        </w:tc>
        <w:tc>
          <w:tcPr>
            <w:tcW w:w="1836"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救生衣39件、救生圈39个、雨衣60件、雨鞋39双、铁锹18把。</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电信救援队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2477"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移动发电车1辆、卫星电话2台、对讲机2台、喊话器1个。</w:t>
            </w:r>
          </w:p>
        </w:tc>
        <w:tc>
          <w:tcPr>
            <w:tcW w:w="1836"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救生衣12件、铁锹2个、雨衣15件、雨鞋15双。</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林业局机关消防应急队伍</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2477"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小型无人机2架、大型无人机1架、移动式水泵4台、割草机4台、油锯9台、对讲机9部、风力灭火器15台、点火器10个、灭火水枪60把。</w:t>
            </w:r>
          </w:p>
        </w:tc>
        <w:tc>
          <w:tcPr>
            <w:tcW w:w="1836"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防火服100件、森林消防防护头盔80个、长柄砍刀60把、砍刀80把、灭火弹60箱、工兵铲60把。</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462"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自然资源和规划局救援队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2477"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小型无人机1架。</w:t>
            </w:r>
          </w:p>
        </w:tc>
        <w:tc>
          <w:tcPr>
            <w:tcW w:w="1836"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雨衣62套、雨鞋62双、手电筒62把。</w:t>
            </w:r>
          </w:p>
        </w:tc>
        <w:tc>
          <w:tcPr>
            <w:tcW w:w="1146" w:type="dxa"/>
            <w:noWrap w:val="0"/>
            <w:vAlign w:val="center"/>
          </w:tcPr>
          <w:p>
            <w:pPr>
              <w:jc w:val="both"/>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462" w:type="dxa"/>
            <w:noWrap w:val="0"/>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住房和城乡建设局应急队伍</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477" w:type="dxa"/>
            <w:noWrap w:val="0"/>
            <w:vAlign w:val="center"/>
          </w:tcPr>
          <w:p>
            <w:pPr>
              <w:jc w:val="left"/>
              <w:rPr>
                <w:rFonts w:hint="eastAsia" w:ascii="宋体" w:hAnsi="宋体" w:eastAsia="宋体" w:cs="宋体"/>
                <w:color w:val="000000"/>
                <w:kern w:val="0"/>
                <w:sz w:val="22"/>
                <w:szCs w:val="18"/>
                <w:u w:val="none"/>
                <w:vertAlign w:val="baseline"/>
                <w:lang w:val="en-US" w:eastAsia="zh-CN" w:bidi="ar"/>
              </w:rPr>
            </w:pPr>
          </w:p>
        </w:tc>
        <w:tc>
          <w:tcPr>
            <w:tcW w:w="1836" w:type="dxa"/>
            <w:noWrap w:val="0"/>
            <w:vAlign w:val="center"/>
          </w:tcPr>
          <w:p>
            <w:pPr>
              <w:jc w:val="left"/>
              <w:rPr>
                <w:rFonts w:hint="eastAsia" w:ascii="宋体" w:hAnsi="宋体" w:eastAsia="宋体" w:cs="宋体"/>
                <w:color w:val="000000"/>
                <w:kern w:val="0"/>
                <w:sz w:val="22"/>
                <w:szCs w:val="18"/>
                <w:u w:val="none"/>
                <w:vertAlign w:val="baseline"/>
                <w:lang w:val="en-US" w:eastAsia="zh-CN" w:bidi="ar"/>
              </w:rPr>
            </w:pPr>
          </w:p>
        </w:tc>
        <w:tc>
          <w:tcPr>
            <w:tcW w:w="1146" w:type="dxa"/>
            <w:noWrap w:val="0"/>
            <w:vAlign w:val="center"/>
          </w:tcPr>
          <w:p>
            <w:pPr>
              <w:jc w:val="both"/>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restart"/>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462" w:type="dxa"/>
            <w:vMerge w:val="restart"/>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永泰县应急管理局应急队伍</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风力灭火机6台。</w:t>
            </w:r>
          </w:p>
        </w:tc>
        <w:tc>
          <w:tcPr>
            <w:tcW w:w="1836"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2号灭火工具20把。</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刘岐专业森林消防队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c>
          <w:tcPr>
            <w:tcW w:w="1462" w:type="dxa"/>
            <w:vMerge w:val="continue"/>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风力灭火机6台。</w:t>
            </w:r>
          </w:p>
        </w:tc>
        <w:tc>
          <w:tcPr>
            <w:tcW w:w="1836"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2号灭火工具20把。</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清凉专业森林消防队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c>
          <w:tcPr>
            <w:tcW w:w="1462" w:type="dxa"/>
            <w:vMerge w:val="continue"/>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风力灭火机6台。</w:t>
            </w:r>
          </w:p>
        </w:tc>
        <w:tc>
          <w:tcPr>
            <w:tcW w:w="1836"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2号灭火工具20把。</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白云专业森林消防队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c>
          <w:tcPr>
            <w:tcW w:w="1462" w:type="dxa"/>
            <w:vMerge w:val="continue"/>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风力灭火机6台。</w:t>
            </w:r>
          </w:p>
        </w:tc>
        <w:tc>
          <w:tcPr>
            <w:tcW w:w="1836"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2号灭火工具20把。</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大洋专业森林消防队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c>
          <w:tcPr>
            <w:tcW w:w="1462" w:type="dxa"/>
            <w:vMerge w:val="continue"/>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风力灭火机6台。</w:t>
            </w:r>
          </w:p>
        </w:tc>
        <w:tc>
          <w:tcPr>
            <w:tcW w:w="1836"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2号灭火工具20把。</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梧桐专业森林消防队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c>
          <w:tcPr>
            <w:tcW w:w="1462" w:type="dxa"/>
            <w:vMerge w:val="continue"/>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风力灭火机5台。</w:t>
            </w:r>
          </w:p>
        </w:tc>
        <w:tc>
          <w:tcPr>
            <w:tcW w:w="1836"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2号灭火工具20把。</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嵩口专业森林消防队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合计</w:t>
            </w:r>
          </w:p>
        </w:tc>
        <w:tc>
          <w:tcPr>
            <w:tcW w:w="1462"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920"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446</w:t>
            </w:r>
          </w:p>
        </w:tc>
        <w:tc>
          <w:tcPr>
            <w:tcW w:w="2477"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83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bl>
    <w:p>
      <w:pPr>
        <w:rPr>
          <w:rFonts w:hint="default"/>
          <w:lang w:val="en-US" w:eastAsia="zh-CN"/>
        </w:rPr>
      </w:pPr>
    </w:p>
    <w:p>
      <w:pPr>
        <w:pStyle w:val="13"/>
        <w:ind w:left="0" w:firstLine="0"/>
      </w:pPr>
    </w:p>
    <w:p/>
    <w:p>
      <w:pPr>
        <w:pStyle w:val="3"/>
      </w:pPr>
    </w:p>
    <w:p>
      <w:pPr>
        <w:pStyle w:val="3"/>
      </w:pPr>
    </w:p>
    <w:p>
      <w:pPr>
        <w:pStyle w:val="3"/>
      </w:pPr>
    </w:p>
    <w:p>
      <w:pPr>
        <w:pStyle w:val="3"/>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462"/>
        <w:gridCol w:w="920"/>
        <w:gridCol w:w="2477"/>
        <w:gridCol w:w="1836"/>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6"/>
            <w:noWrap w:val="0"/>
            <w:vAlign w:val="center"/>
          </w:tcPr>
          <w:p>
            <w:pPr>
              <w:jc w:val="center"/>
              <w:rPr>
                <w:rFonts w:hint="default"/>
                <w:vertAlign w:val="baseline"/>
                <w:lang w:val="en-US" w:eastAsia="zh-CN"/>
              </w:rPr>
            </w:pPr>
            <w:r>
              <w:rPr>
                <w:rFonts w:hint="default"/>
                <w:sz w:val="32"/>
                <w:szCs w:val="40"/>
                <w:vertAlign w:val="baseline"/>
                <w:lang w:val="en-US" w:eastAsia="zh-CN"/>
              </w:rPr>
              <w:t>永泰县</w:t>
            </w:r>
            <w:r>
              <w:rPr>
                <w:rFonts w:hint="eastAsia"/>
                <w:sz w:val="32"/>
                <w:szCs w:val="40"/>
                <w:vertAlign w:val="baseline"/>
                <w:lang w:val="en-US" w:eastAsia="zh-CN"/>
              </w:rPr>
              <w:t>综合救援队</w:t>
            </w:r>
            <w:r>
              <w:rPr>
                <w:rFonts w:hint="default"/>
                <w:sz w:val="32"/>
                <w:szCs w:val="40"/>
                <w:vertAlign w:val="baseline"/>
                <w:lang w:val="en-US" w:eastAsia="zh-CN"/>
              </w:rPr>
              <w:t>应急救援装备及物资情况表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05"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序号</w:t>
            </w:r>
          </w:p>
        </w:tc>
        <w:tc>
          <w:tcPr>
            <w:tcW w:w="1462"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应急队伍全称</w:t>
            </w:r>
          </w:p>
        </w:tc>
        <w:tc>
          <w:tcPr>
            <w:tcW w:w="920"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人员总数</w:t>
            </w:r>
          </w:p>
        </w:tc>
        <w:tc>
          <w:tcPr>
            <w:tcW w:w="2477"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救援机械设备及数量</w:t>
            </w:r>
          </w:p>
        </w:tc>
        <w:tc>
          <w:tcPr>
            <w:tcW w:w="1836"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救援物资及数量</w:t>
            </w:r>
          </w:p>
        </w:tc>
        <w:tc>
          <w:tcPr>
            <w:tcW w:w="1146"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1</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永泰县消防救援队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ascii="宋体" w:hAnsi="宋体" w:eastAsia="宋体" w:cs="宋体"/>
                <w:color w:val="000000"/>
                <w:kern w:val="0"/>
                <w:sz w:val="24"/>
                <w:szCs w:val="24"/>
                <w:lang w:val="en-US" w:eastAsia="zh-CN" w:bidi="ar"/>
              </w:rPr>
              <w:t>一七泡沫水罐车1部、德国曼抢险救援车1部、豪沃高喷水罐车1部、登高平台车1部、五十铃水罐车1部、五十铃抢险车1部、豪沃水罐车2部。</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便携式发动机2台、油锯2台、切割机2台、液压破拆工具2台、抛绳（牵绳）装备1套、生命探测仪1台、热成像设备1套、卫星电话2台、对讲机25台、喊话器3个、水枪12把, 防护（防生化）服7套、救生衣50件、救生圈6个、铁锹2把、铁镐2把、避火服2套、防护头盔40个、雨鞋20双、担架4个。</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2</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永泰县嵩口消防救援站</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豪沃水罐车1部、五十铃水罐车泡沫1部、五十铃抢险车1部</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油锯1台、切割机1台、对讲机17台、喊话器2个、水枪10把, 救生衣20件、救生圈4个、铁锹1把、铁镐1把、防护头盔20个、担架1个、移动抽水泵1台、发动机1台。</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3</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永泰县葛岭消防救援站</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豪沃水罐车1部、水罐车泡沫1部、抢险车1部。</w:t>
            </w:r>
          </w:p>
        </w:tc>
        <w:tc>
          <w:tcPr>
            <w:tcW w:w="1836" w:type="dxa"/>
            <w:noWrap w:val="0"/>
            <w:vAlign w:val="center"/>
          </w:tcPr>
          <w:p>
            <w:pPr>
              <w:jc w:val="center"/>
              <w:textAlignment w:val="center"/>
              <w:rPr>
                <w:rFonts w:hint="eastAsia" w:ascii="宋体" w:hAnsi="宋体" w:eastAsia="宋体" w:cs="宋体"/>
                <w:color w:val="000000"/>
                <w:kern w:val="0"/>
                <w:sz w:val="24"/>
                <w:szCs w:val="24"/>
                <w:u w:val="none"/>
                <w:vertAlign w:val="baseline"/>
                <w:lang w:val="en-US" w:eastAsia="zh-CN" w:bidi="ar"/>
              </w:rPr>
            </w:pP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1462"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920"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90</w:t>
            </w:r>
          </w:p>
        </w:tc>
        <w:tc>
          <w:tcPr>
            <w:tcW w:w="2477"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83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bl>
    <w:p>
      <w:pPr>
        <w:pStyle w:val="13"/>
        <w:ind w:left="0" w:firstLine="0"/>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462"/>
        <w:gridCol w:w="920"/>
        <w:gridCol w:w="2477"/>
        <w:gridCol w:w="1836"/>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6"/>
            <w:noWrap w:val="0"/>
            <w:vAlign w:val="center"/>
          </w:tcPr>
          <w:p>
            <w:pPr>
              <w:jc w:val="center"/>
              <w:rPr>
                <w:rFonts w:hint="default"/>
                <w:vertAlign w:val="baseline"/>
                <w:lang w:val="en-US" w:eastAsia="zh-CN"/>
              </w:rPr>
            </w:pPr>
            <w:r>
              <w:rPr>
                <w:rFonts w:hint="default"/>
                <w:sz w:val="32"/>
                <w:szCs w:val="40"/>
                <w:vertAlign w:val="baseline"/>
                <w:lang w:val="en-US" w:eastAsia="zh-CN"/>
              </w:rPr>
              <w:t>永泰县</w:t>
            </w:r>
            <w:r>
              <w:rPr>
                <w:rFonts w:hint="eastAsia"/>
                <w:sz w:val="32"/>
                <w:szCs w:val="40"/>
                <w:vertAlign w:val="baseline"/>
                <w:lang w:val="en-US" w:eastAsia="zh-CN"/>
              </w:rPr>
              <w:t>乡镇救援队</w:t>
            </w:r>
            <w:r>
              <w:rPr>
                <w:rFonts w:hint="default"/>
                <w:sz w:val="32"/>
                <w:szCs w:val="40"/>
                <w:vertAlign w:val="baseline"/>
                <w:lang w:val="en-US" w:eastAsia="zh-CN"/>
              </w:rPr>
              <w:t>应急救援装备及物资情况表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05"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序号</w:t>
            </w:r>
          </w:p>
        </w:tc>
        <w:tc>
          <w:tcPr>
            <w:tcW w:w="1462"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应急队伍全称</w:t>
            </w:r>
          </w:p>
        </w:tc>
        <w:tc>
          <w:tcPr>
            <w:tcW w:w="920"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人员总数</w:t>
            </w:r>
          </w:p>
        </w:tc>
        <w:tc>
          <w:tcPr>
            <w:tcW w:w="2477"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救援机械设备及数量</w:t>
            </w:r>
          </w:p>
        </w:tc>
        <w:tc>
          <w:tcPr>
            <w:tcW w:w="1836"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救援物资及数量</w:t>
            </w:r>
          </w:p>
        </w:tc>
        <w:tc>
          <w:tcPr>
            <w:tcW w:w="1146"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1</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樟城镇救援队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移动发电车1辆、油锯1台对、讲机5部、喊话机3部、水枪头15个。</w:t>
            </w:r>
          </w:p>
        </w:tc>
        <w:tc>
          <w:tcPr>
            <w:tcW w:w="1836" w:type="dxa"/>
            <w:noWrap w:val="0"/>
            <w:vAlign w:val="center"/>
          </w:tcPr>
          <w:p>
            <w:pPr>
              <w:keepNext w:val="0"/>
              <w:keepLines w:val="0"/>
              <w:widowControl/>
              <w:suppressLineNumbers w:val="0"/>
              <w:spacing w:after="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编织麻袋500个、救生衣30件、救生圈30个、防汛灯具5个、铁锹30把、铁镐10把、防护头盔30顶、应急灯2个、雨衣20件、雨鞋10双、棉衣6件、棉被6件、砍刀5把、灭火弹6个。</w:t>
            </w:r>
          </w:p>
          <w:p>
            <w:pPr>
              <w:keepNext w:val="0"/>
              <w:keepLines w:val="0"/>
              <w:widowControl/>
              <w:suppressLineNumbers w:val="0"/>
              <w:spacing w:after="0" w:afterAutospacing="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spacing w:after="0" w:afterAutospacing="0"/>
              <w:jc w:val="center"/>
              <w:textAlignment w:val="center"/>
              <w:rPr>
                <w:rFonts w:hint="eastAsia" w:ascii="宋体" w:hAnsi="宋体" w:eastAsia="宋体" w:cs="宋体"/>
                <w:i w:val="0"/>
                <w:iCs w:val="0"/>
                <w:color w:val="000000"/>
                <w:kern w:val="0"/>
                <w:sz w:val="24"/>
                <w:szCs w:val="24"/>
                <w:u w:val="none"/>
                <w:lang w:val="en-US" w:eastAsia="zh-CN" w:bidi="ar"/>
              </w:rPr>
            </w:pPr>
          </w:p>
          <w:p>
            <w:pPr>
              <w:pStyle w:val="13"/>
              <w:jc w:val="both"/>
              <w:rPr>
                <w:rFonts w:hint="eastAsia"/>
                <w:lang w:val="en-US" w:eastAsia="zh-CN"/>
              </w:rPr>
            </w:pP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2</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清凉镇救援队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71</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卫星电话1部。</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救生衣31件、编织袋5200个、手电筒186把、锄头158把、铁锹110把、土箕158个、雨鞋186双、雨衣93件。</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3</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富泉乡救援队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应急发电机1台。</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救生衣60件、编织袋2000个、安全帽30顶、雨衣80件、雨鞋80双、手电筒30把、锄头10把、铁锹10把、土箕20个、头灯30个、手提式探照灯10把、安全绳20捆、救生抛绳器1个、卫星电话1部、喊话器7个、灭火二号25把、砍刀35把、风力灭火器2套、灭火水枪8把。</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4</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赤锡乡救援队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卫星电话1台、发电机2台、手摇报警器15个、铜锣60面。</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麻袋100、雨衣雨鞋70、救生衣50、手电筒70、安全帽30、锄头10、簸箕10。</w:t>
            </w:r>
          </w:p>
        </w:tc>
        <w:tc>
          <w:tcPr>
            <w:tcW w:w="1146" w:type="dxa"/>
            <w:noWrap w:val="0"/>
            <w:vAlign w:val="center"/>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5" w:hRule="atLeast"/>
        </w:trPr>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5</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梧桐镇救援队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发电机1台；油锯2台；消防动力机1台；救援抛绳器1台；卫星电话1台；对讲机1台；风力灭火器5台；二号灭火工具50把；点火器18个；背负式灭火水枪15支；高压喷雾水枪1支；手摇报警器29个。</w:t>
            </w:r>
          </w:p>
        </w:tc>
        <w:tc>
          <w:tcPr>
            <w:tcW w:w="1836" w:type="dxa"/>
            <w:noWrap w:val="0"/>
            <w:vAlign w:val="center"/>
          </w:tcPr>
          <w:p>
            <w:pPr>
              <w:keepNext w:val="0"/>
              <w:keepLines w:val="0"/>
              <w:widowControl/>
              <w:suppressLineNumbers w:val="0"/>
              <w:spacing w:after="0" w:afterAutospacing="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帐篷5顶；编织袋900个；救生衣30件；救生圈10个、铁锹40把；锄头35把；头盔30顶；警戒线40盒、应急背囊30件；雨衣84件；雨鞋100双；棉衣30件：棉被50床；柴刀（短）40把；安全绳20捆。</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4" w:hRule="atLeast"/>
        </w:trPr>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6</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盖洋乡救援队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灭火二号工具45把、背负式灭火水枪6支、干粉灭火器6箱、卫星电话1部、手锯1把。</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柴刀（长）2把、柴刀（短）50把、帐篷8顶、棉被10床、编织袋200个、雨鞋30双、橡胶簸箕25个、铁锹30个、锄头30把、防护头盔40顶、雨衣30件、救生绳25条。</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7</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东洋乡救援队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卫星电话1部。</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帐篷1顶、应急灯15个、铁锹20把、铁镐55把、棉被45套、防护头盔60顶、编织袋200个、救生衣30件、雨衣16件、雨鞋18件。</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8</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大洋镇救援队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38</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油锯1台、卫星电话1部、风力灭火器17箱、水枪13支。</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二号灭火工具78把、帐篷3个、救生衣40件、铁镐18把、防护头盔50顶、雨衣10件、雨鞋10件、棉衣23件、砍刀35把、灭火弹2箱。</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9</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红星乡救援队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43</w:t>
            </w:r>
          </w:p>
        </w:tc>
        <w:tc>
          <w:tcPr>
            <w:tcW w:w="2477" w:type="dxa"/>
            <w:noWrap w:val="0"/>
            <w:vAlign w:val="center"/>
          </w:tcPr>
          <w:p>
            <w:pPr>
              <w:keepNext w:val="0"/>
              <w:keepLines w:val="0"/>
              <w:widowControl/>
              <w:suppressLineNumbers w:val="0"/>
              <w:spacing w:after="0" w:afterAutospacing="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背负式灭火水枪5支、点火器2个、油锯2台、风力灭火机6台、灭火弹10箱、割灌机2台、手持对讲机2部、GPS定位仪1个、望远镜1个、抛绳器1套、应急发电机1台。</w:t>
            </w:r>
          </w:p>
        </w:tc>
        <w:tc>
          <w:tcPr>
            <w:tcW w:w="1836" w:type="dxa"/>
            <w:noWrap w:val="0"/>
            <w:vAlign w:val="center"/>
          </w:tcPr>
          <w:p>
            <w:pPr>
              <w:keepNext w:val="0"/>
              <w:keepLines w:val="0"/>
              <w:widowControl/>
              <w:suppressLineNumbers w:val="0"/>
              <w:spacing w:after="0" w:afterAutospacing="0"/>
              <w:jc w:val="center"/>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灭火二号工具50把、灭火三号工具50把、长柄柴刀15把、短柄柴刀15把、甘大柴刀15把、防护头盔50顶、顶阻燃服装20套、荒漠迷彩服12套、双肩包50个、林地迷彩服50套、毛巾50条、迷彩帽50顶、迷彩鞋50双、手电50把、防火手套50副、阻燃鞋14双、油桶1个、水壶50个、简易急救包20个、储物架1个、手提式探照灯10个、防寒雨衣20件、雨鞋20双、帐篷2个、陆军背囊30个、陆军棉被30床、水壶30个、头盔30顶、警棍30把、盾牌30个、防暴钢叉2个、反光背心30套、灭火组合工具5套、防火面具10个、强光手电30把、救生衣20套、防汛帽20顶、施救绳10捆、应急沙袋100个、蜡烛100根、大锹25把、大镐25把、小锹5把、小镐5把、背囊架2个、铁镐架1个、盾牌架3个。</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10</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白云乡救援队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风力灭火器4台、背负式灭火水枪5台。</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砍刀10把、灭火弹10个、铁锹10把、救生衣15件、编织袋300个、头盔48顶。</w:t>
            </w:r>
          </w:p>
        </w:tc>
        <w:tc>
          <w:tcPr>
            <w:tcW w:w="1146" w:type="dxa"/>
            <w:noWrap w:val="0"/>
            <w:vAlign w:val="center"/>
          </w:tcPr>
          <w:p>
            <w:pPr>
              <w:jc w:val="both"/>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8" w:hRule="atLeast"/>
        </w:trPr>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11</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嵩口镇救援队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三轮消防车1部、移动水泵车1台、卫星电话1部、对讲机4部、风力灭火器4台、救援抛绳器1个、应急发电机1台。</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帐篷25顶、编织袋5000个、救生衣160件、头盔160顶、雨衣160件、雨鞋160双、手电筒160把、铁锹30把、锄头70把、防火服20套、应急灯10个、棉被10床、砍刀20把、灭火弹10箱二号灭火工具30把。</w:t>
            </w:r>
          </w:p>
        </w:tc>
        <w:tc>
          <w:tcPr>
            <w:tcW w:w="1146" w:type="dxa"/>
            <w:noWrap w:val="0"/>
            <w:vAlign w:val="center"/>
          </w:tcPr>
          <w:p>
            <w:pPr>
              <w:jc w:val="both"/>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12</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岭路乡救援队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背负式灭火水枪3支、复式水枪12支、割草机3个、点火器3个、油锯1台、望远镜1台、应急发电机1台、卫星电话1部。</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防寒雨衣15件、雨鞋18双、安全帽20顶、救生衣20件、安全绳20条、手提式探照灯10把、强冲电筒5把、抛绳器1个、编织袋500个二号灭火工具113把、长式砍刀2把、柴刀80把。</w:t>
            </w: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13</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塘前乡救援队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卫星电话1台、对讲机7台、喊话器10台。</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帐篷3顶、铁锹30把、铁镐30把、应急灯50个、棉被30件；锄头3把、铲子5把、手套1箱、油锯1把、砍刀11 把、长砍刀2把、割草机1台、扬声器1台、安全帽10顶、安全绳2条、风力灭火机3台、干粉灭火器3箱、2号扑火工具100把、手投式灭火器7箱、背负式自动喷雾器1台、背式水枪（水壶式）10把、背式水枪（背袋式）7把。</w:t>
            </w: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14</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洑口乡救援队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卫星电话1部、应急发电机2台。</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帐篷10顶、编织袋300个、救生衣30件、强光手电10个、铁锹20把、雨衣45件、雨鞋45双、砍刀37把、灭火弹2箱、二号灭火工具87把。</w:t>
            </w: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15</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同安镇救援队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手动喷水灭火机20台、小型无人机1架。</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二号灭火工具30把、灭火器材3箱、手电筒50把、劈刀30把、服装30套、安全帽30顶、喊话器80个、话筒23个、扩音器23个、大喇叭23个。</w:t>
            </w: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16</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霞拔乡救援队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发电机1台。</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头盔27顶、工兵铲7把、锄头6把、砍柴刀6把、救生衣20件、安全帽50顶、军用背包20个、雨衣20件、灭火喷壶3个、灭火弹3箱、雨鞋20双。</w:t>
            </w: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17</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葛岭镇救援队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46</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卫星电话1部、对讲机6部、便携式发电机1台、喊话器6部、静力绳2捆灭火水枪10支。</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二号灭火工具80把、编织袋1000个、救生衣20件、铁锹10把、应急灯5个、雨衣雨鞋各10套。</w:t>
            </w: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18</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城峰镇救援队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210</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3.8米皮划艇1艘、3.3米皮划艇1艘、卫星手机1台、高音喇叭37个、发电机1台、手摇报警器1台、背式水枪5把</w:t>
            </w:r>
          </w:p>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836" w:type="dxa"/>
            <w:noWrap w:val="0"/>
            <w:vAlign w:val="center"/>
          </w:tcPr>
          <w:p>
            <w:pPr>
              <w:keepNext w:val="0"/>
              <w:keepLines w:val="0"/>
              <w:widowControl/>
              <w:suppressLineNumbers w:val="0"/>
              <w:spacing w:after="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号扑火工具30把、铜锣19个、沙袋1000个、安全绳20条、救援抛绳器1条、救生圈18个、救生衣30件、棉被40床、警戒线6件、手提式探照灯10个、手电筒60个、安全帽17顶、雨衣64件、一次性雨衣150件、雨鞋53双、救生衣164件、编织袋3360个、电筒274把、锄头469把、铁锹288把、土箕329个、雨鞋283双、雨衣311件、铜锣25个、警戒线37件、砂石料202立方米、安全带243件。</w:t>
            </w:r>
          </w:p>
          <w:p>
            <w:pPr>
              <w:keepNext w:val="0"/>
              <w:keepLines w:val="0"/>
              <w:widowControl/>
              <w:suppressLineNumbers w:val="0"/>
              <w:spacing w:after="0" w:afterAutospacing="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spacing w:after="0" w:afterAutospacing="0"/>
              <w:jc w:val="center"/>
              <w:textAlignment w:val="center"/>
              <w:rPr>
                <w:rFonts w:hint="eastAsia" w:ascii="宋体" w:hAnsi="宋体" w:eastAsia="宋体" w:cs="宋体"/>
                <w:i w:val="0"/>
                <w:iCs w:val="0"/>
                <w:color w:val="000000"/>
                <w:kern w:val="0"/>
                <w:sz w:val="24"/>
                <w:szCs w:val="24"/>
                <w:u w:val="none"/>
                <w:lang w:val="en-US" w:eastAsia="zh-CN" w:bidi="ar"/>
              </w:rPr>
            </w:pPr>
          </w:p>
          <w:p>
            <w:pPr>
              <w:pStyle w:val="13"/>
              <w:jc w:val="both"/>
              <w:rPr>
                <w:rFonts w:hint="eastAsia"/>
                <w:lang w:val="en-US" w:eastAsia="zh-CN"/>
              </w:rPr>
            </w:pP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19</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盘谷乡救援队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挖掘机1台。</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灭火二号工具101把、柴刀30把、背负式灭火水枪6支、风力灭火器3台、灭火器50个、背包25个、手套152</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副、头戴手电筒25支、编织袋2000个、洋镐10把、锄</w:t>
            </w:r>
          </w:p>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头10把、土箕10担、扁担10把、雨衣30件、雨鞋30双、洋锹15把、救生衣28件、安全帽25个、头灯5个、对讲机3个。</w:t>
            </w: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20</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丹云乡救援队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救生衣20件、救生绳10捆、安全帽20顶、雨衣雨鞋20套、手电20把、头灯20个、搞10把、铁锹30把、柴刀5把。</w:t>
            </w: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5"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21</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长庆镇救援队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风力灭火器16台；干粉灭火剂9箱；柴刀50把；背负式灭火水枪16支；手抬机动泵2台；单向射流式自吸泵2台；卫星电话1部；对讲机4台；柴油发动机1台。</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救生衣105件；编织袋600件；手摇警报器60台；帐篷2顶；工作灯150 盏；铁铲25，迷彩鞋20，农用灭火喷雾器20，防毒面具20，橡皮棍20，头盔15，盾牌20灭火2号工具60把。</w:t>
            </w: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合计</w:t>
            </w:r>
          </w:p>
        </w:tc>
        <w:tc>
          <w:tcPr>
            <w:tcW w:w="1462"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920"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813</w:t>
            </w:r>
          </w:p>
        </w:tc>
        <w:tc>
          <w:tcPr>
            <w:tcW w:w="2477"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83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bl>
    <w:p/>
    <w:p>
      <w:pPr>
        <w:pStyle w:val="13"/>
      </w:pPr>
    </w:p>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462"/>
        <w:gridCol w:w="920"/>
        <w:gridCol w:w="2477"/>
        <w:gridCol w:w="1836"/>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6"/>
            <w:noWrap w:val="0"/>
            <w:vAlign w:val="center"/>
          </w:tcPr>
          <w:p>
            <w:pPr>
              <w:jc w:val="center"/>
              <w:rPr>
                <w:rFonts w:hint="default"/>
                <w:vertAlign w:val="baseline"/>
                <w:lang w:val="en-US" w:eastAsia="zh-CN"/>
              </w:rPr>
            </w:pPr>
            <w:r>
              <w:rPr>
                <w:rFonts w:hint="default"/>
                <w:sz w:val="32"/>
                <w:szCs w:val="40"/>
                <w:vertAlign w:val="baseline"/>
                <w:lang w:val="en-US" w:eastAsia="zh-CN"/>
              </w:rPr>
              <w:t>永泰县</w:t>
            </w:r>
            <w:r>
              <w:rPr>
                <w:rFonts w:hint="eastAsia"/>
                <w:sz w:val="32"/>
                <w:szCs w:val="40"/>
                <w:vertAlign w:val="baseline"/>
                <w:lang w:val="en-US" w:eastAsia="zh-CN"/>
              </w:rPr>
              <w:t>辅助救援队</w:t>
            </w:r>
            <w:r>
              <w:rPr>
                <w:rFonts w:hint="default"/>
                <w:sz w:val="32"/>
                <w:szCs w:val="40"/>
                <w:vertAlign w:val="baseline"/>
                <w:lang w:val="en-US" w:eastAsia="zh-CN"/>
              </w:rPr>
              <w:t>应急救援装备及物资情况表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05"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序号</w:t>
            </w:r>
          </w:p>
        </w:tc>
        <w:tc>
          <w:tcPr>
            <w:tcW w:w="1462"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应急队伍全称</w:t>
            </w:r>
          </w:p>
        </w:tc>
        <w:tc>
          <w:tcPr>
            <w:tcW w:w="920"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人员总数</w:t>
            </w:r>
          </w:p>
        </w:tc>
        <w:tc>
          <w:tcPr>
            <w:tcW w:w="2477"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救援机械设备及数量</w:t>
            </w:r>
          </w:p>
        </w:tc>
        <w:tc>
          <w:tcPr>
            <w:tcW w:w="1836"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救援物资及数量</w:t>
            </w:r>
          </w:p>
        </w:tc>
        <w:tc>
          <w:tcPr>
            <w:tcW w:w="1146"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1</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曙光救援队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救生艇1艘、无人机1架、水下探测仪1台。</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救生衣35件、背包4个。</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2</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天台山救援队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冲锋舟1部，绳索速降装备10套，油锯3台，高科技微型破拆锯2把，灭火鼓风机2台，地震破拆装备1套，发电机1台，应急手电30个，车载无线电装备2套，专业承重水上救援救生衣20套，拖车1部，应急越野车队20部。</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蜡烛50箱、衣服20箱、棉被60床、救生包50包。</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3</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红十字会救援队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无</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培训简易急救包500个。</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1" w:hRule="atLeast"/>
        </w:trPr>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4</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县民兵应急连</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120</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冲锋舟3部、小型无人机1架、便携式发电机1台、油锯2台、液压破拆工具2台、抛绳器3个、卫星电话1部、对讲机20台、喊话器3台、风力灭火机7台、2号灭火工具30把、水枪7把。</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帐篷13顶、编织袋1000个、麻袋1000个、救生衣120件、救生圈5个、防汛灯具20个、铁锹30把、铁镐10把、防火服20套、防护头盔120顶、应急灯10台、雨衣130套、雨鞋120双、棉衣120件、棉被120床、应急包2套、砍刀10把、灭火弹36个。</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5</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县武警中队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41</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电锯3台。</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铁锹10把、铁镐10把、救援绳2根、救生衣100套、雨衣50套。</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1462"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244</w:t>
            </w:r>
          </w:p>
        </w:tc>
        <w:tc>
          <w:tcPr>
            <w:tcW w:w="2477"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83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bl>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ind w:left="0" w:leftChars="0" w:firstLine="0" w:firstLineChars="0"/>
        <w:outlineLvl w:val="0"/>
        <w:rPr>
          <w:rFonts w:hint="eastAsia"/>
          <w:sz w:val="32"/>
          <w:szCs w:val="32"/>
          <w:lang w:eastAsia="zh-CN"/>
        </w:rPr>
      </w:pPr>
      <w:r>
        <w:rPr>
          <w:rFonts w:hint="eastAsia" w:ascii="方正黑体简体" w:hAnsi="方正黑体简体" w:eastAsia="方正黑体简体" w:cs="方正黑体简体"/>
          <w:sz w:val="32"/>
          <w:szCs w:val="32"/>
        </w:rPr>
        <w:t>附件</w:t>
      </w:r>
      <w:r>
        <w:rPr>
          <w:rFonts w:hint="eastAsia" w:ascii="方正黑体简体" w:hAnsi="方正黑体简体" w:eastAsia="方正黑体简体" w:cs="方正黑体简体"/>
          <w:sz w:val="32"/>
          <w:szCs w:val="32"/>
          <w:lang w:val="en-US" w:eastAsia="zh-CN"/>
        </w:rPr>
        <w:t>5</w:t>
      </w:r>
    </w:p>
    <w:p>
      <w:pPr>
        <w:pStyle w:val="14"/>
        <w:numPr>
          <w:ilvl w:val="0"/>
          <w:numId w:val="0"/>
        </w:numPr>
        <w:tabs>
          <w:tab w:val="left" w:pos="1655"/>
          <w:tab w:val="left" w:pos="1656"/>
        </w:tabs>
        <w:spacing w:before="56" w:after="22" w:line="240" w:lineRule="auto"/>
        <w:ind w:right="0" w:rightChars="0"/>
        <w:jc w:val="center"/>
        <w:rPr>
          <w:rFonts w:hint="eastAsia" w:ascii="方正小标宋简体" w:hAnsi="微软雅黑" w:eastAsia="方正小标宋简体" w:cs="宋体"/>
          <w:color w:val="000000"/>
          <w:kern w:val="0"/>
          <w:sz w:val="44"/>
          <w:szCs w:val="44"/>
          <w:lang w:val="en-US" w:eastAsia="zh-CN" w:bidi="ar-SA"/>
        </w:rPr>
      </w:pPr>
      <w:r>
        <w:rPr>
          <w:rFonts w:hint="eastAsia" w:ascii="方正小标宋简体" w:hAnsi="微软雅黑" w:eastAsia="方正小标宋简体" w:cs="宋体"/>
          <w:color w:val="000000"/>
          <w:kern w:val="0"/>
          <w:sz w:val="44"/>
          <w:szCs w:val="44"/>
          <w:lang w:val="en-US" w:eastAsia="zh-CN" w:bidi="ar-SA"/>
        </w:rPr>
        <w:t>永泰县及周边医疗机构一览表</w:t>
      </w:r>
    </w:p>
    <w:tbl>
      <w:tblPr>
        <w:tblStyle w:val="8"/>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16"/>
        <w:gridCol w:w="3169"/>
        <w:gridCol w:w="1360"/>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062" w:type="dxa"/>
            <w:gridSpan w:val="4"/>
            <w:noWrap w:val="0"/>
            <w:vAlign w:val="center"/>
          </w:tcPr>
          <w:p>
            <w:pPr>
              <w:pStyle w:val="12"/>
              <w:spacing w:before="98"/>
              <w:ind w:left="107"/>
              <w:jc w:val="left"/>
              <w:rPr>
                <w:rFonts w:hint="eastAsia" w:ascii="宋体" w:eastAsia="宋体"/>
                <w:sz w:val="24"/>
              </w:rPr>
            </w:pPr>
            <w:r>
              <w:rPr>
                <w:sz w:val="24"/>
              </w:rPr>
              <w:t>一、</w:t>
            </w:r>
            <w:r>
              <w:rPr>
                <w:rFonts w:hint="eastAsia"/>
                <w:sz w:val="24"/>
              </w:rPr>
              <w:t xml:space="preserve"> 福建省永泰县中医院</w:t>
            </w:r>
            <w:r>
              <w:rPr>
                <w:rFonts w:hint="eastAsia" w:ascii="宋体" w:eastAsia="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2116" w:type="dxa"/>
            <w:noWrap w:val="0"/>
            <w:vAlign w:val="center"/>
          </w:tcPr>
          <w:p>
            <w:pPr>
              <w:pStyle w:val="12"/>
              <w:spacing w:before="97"/>
              <w:ind w:left="614" w:right="487"/>
              <w:rPr>
                <w:rFonts w:hint="eastAsia" w:ascii="宋体" w:eastAsia="宋体"/>
                <w:b/>
                <w:sz w:val="24"/>
              </w:rPr>
            </w:pPr>
            <w:r>
              <w:rPr>
                <w:b/>
                <w:sz w:val="24"/>
              </w:rPr>
              <w:t>医院名称</w:t>
            </w:r>
            <w:r>
              <w:rPr>
                <w:rFonts w:hint="eastAsia" w:ascii="宋体" w:eastAsia="宋体"/>
                <w:b/>
                <w:w w:val="99"/>
                <w:sz w:val="24"/>
              </w:rPr>
              <w:t xml:space="preserve"> </w:t>
            </w:r>
          </w:p>
        </w:tc>
        <w:tc>
          <w:tcPr>
            <w:tcW w:w="3169" w:type="dxa"/>
            <w:noWrap w:val="0"/>
            <w:vAlign w:val="center"/>
          </w:tcPr>
          <w:p>
            <w:pPr>
              <w:pStyle w:val="12"/>
              <w:spacing w:before="97"/>
              <w:ind w:left="303" w:right="175"/>
              <w:rPr>
                <w:rFonts w:hint="eastAsia" w:ascii="宋体" w:eastAsia="宋体"/>
                <w:sz w:val="24"/>
              </w:rPr>
            </w:pPr>
            <w:r>
              <w:rPr>
                <w:rFonts w:hint="eastAsia"/>
                <w:sz w:val="24"/>
              </w:rPr>
              <w:t>福建省永泰县中医院</w:t>
            </w:r>
          </w:p>
        </w:tc>
        <w:tc>
          <w:tcPr>
            <w:tcW w:w="1360" w:type="dxa"/>
            <w:noWrap w:val="0"/>
            <w:vAlign w:val="center"/>
          </w:tcPr>
          <w:p>
            <w:pPr>
              <w:pStyle w:val="12"/>
              <w:spacing w:before="97"/>
              <w:ind w:left="318"/>
              <w:jc w:val="left"/>
              <w:rPr>
                <w:rFonts w:hint="eastAsia" w:ascii="宋体" w:eastAsia="宋体"/>
                <w:b/>
                <w:sz w:val="24"/>
              </w:rPr>
            </w:pPr>
            <w:r>
              <w:rPr>
                <w:b/>
                <w:sz w:val="24"/>
              </w:rPr>
              <w:t>类 型</w:t>
            </w:r>
            <w:r>
              <w:rPr>
                <w:rFonts w:hint="eastAsia" w:ascii="宋体" w:eastAsia="宋体"/>
                <w:b/>
                <w:w w:val="99"/>
                <w:sz w:val="24"/>
              </w:rPr>
              <w:t xml:space="preserve"> </w:t>
            </w:r>
          </w:p>
        </w:tc>
        <w:tc>
          <w:tcPr>
            <w:tcW w:w="2417" w:type="dxa"/>
            <w:noWrap w:val="0"/>
            <w:vAlign w:val="center"/>
          </w:tcPr>
          <w:p>
            <w:pPr>
              <w:pStyle w:val="12"/>
              <w:spacing w:before="97"/>
              <w:ind w:right="597"/>
              <w:jc w:val="both"/>
              <w:rPr>
                <w:rFonts w:hint="eastAsia" w:ascii="宋体" w:eastAsia="宋体"/>
                <w:sz w:val="24"/>
              </w:rPr>
            </w:pPr>
            <w:r>
              <w:rPr>
                <w:rFonts w:hint="eastAsia"/>
                <w:sz w:val="24"/>
                <w:lang w:eastAsia="zh-CN"/>
              </w:rPr>
              <w:t>二</w:t>
            </w:r>
            <w:r>
              <w:rPr>
                <w:sz w:val="24"/>
              </w:rPr>
              <w:t>级甲等</w:t>
            </w:r>
            <w:r>
              <w:rPr>
                <w:rFonts w:hint="eastAsia" w:ascii="宋体" w:eastAsia="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16" w:type="dxa"/>
            <w:noWrap w:val="0"/>
            <w:vAlign w:val="center"/>
          </w:tcPr>
          <w:p>
            <w:pPr>
              <w:pStyle w:val="12"/>
              <w:spacing w:before="98"/>
              <w:ind w:left="614" w:right="487"/>
              <w:rPr>
                <w:rFonts w:hint="eastAsia" w:ascii="宋体" w:eastAsia="宋体"/>
                <w:b/>
                <w:sz w:val="24"/>
              </w:rPr>
            </w:pPr>
            <w:r>
              <w:rPr>
                <w:b/>
                <w:sz w:val="24"/>
              </w:rPr>
              <w:t>医务人员</w:t>
            </w:r>
            <w:r>
              <w:rPr>
                <w:rFonts w:hint="eastAsia" w:ascii="宋体" w:eastAsia="宋体"/>
                <w:b/>
                <w:w w:val="99"/>
                <w:sz w:val="24"/>
              </w:rPr>
              <w:t xml:space="preserve"> </w:t>
            </w:r>
          </w:p>
        </w:tc>
        <w:tc>
          <w:tcPr>
            <w:tcW w:w="3169" w:type="dxa"/>
            <w:noWrap w:val="0"/>
            <w:vAlign w:val="center"/>
          </w:tcPr>
          <w:p>
            <w:pPr>
              <w:pStyle w:val="12"/>
              <w:spacing w:before="98"/>
              <w:ind w:left="183" w:right="175"/>
              <w:rPr>
                <w:sz w:val="24"/>
              </w:rPr>
            </w:pPr>
            <w:r>
              <w:rPr>
                <w:rFonts w:hint="eastAsia"/>
                <w:sz w:val="24"/>
                <w:lang w:val="en-US" w:eastAsia="zh-CN"/>
              </w:rPr>
              <w:t>82</w:t>
            </w:r>
            <w:r>
              <w:rPr>
                <w:sz w:val="24"/>
              </w:rPr>
              <w:t>名</w:t>
            </w:r>
          </w:p>
        </w:tc>
        <w:tc>
          <w:tcPr>
            <w:tcW w:w="1360" w:type="dxa"/>
            <w:noWrap w:val="0"/>
            <w:vAlign w:val="center"/>
          </w:tcPr>
          <w:p>
            <w:pPr>
              <w:pStyle w:val="12"/>
              <w:spacing w:before="98"/>
              <w:ind w:left="318"/>
              <w:jc w:val="left"/>
              <w:rPr>
                <w:b/>
                <w:sz w:val="24"/>
              </w:rPr>
            </w:pPr>
            <w:r>
              <w:rPr>
                <w:b/>
                <w:sz w:val="24"/>
              </w:rPr>
              <w:t>床位数</w:t>
            </w:r>
          </w:p>
        </w:tc>
        <w:tc>
          <w:tcPr>
            <w:tcW w:w="2417" w:type="dxa"/>
            <w:noWrap w:val="0"/>
            <w:vAlign w:val="center"/>
          </w:tcPr>
          <w:p>
            <w:pPr>
              <w:pStyle w:val="12"/>
              <w:spacing w:before="98"/>
              <w:ind w:right="820"/>
              <w:jc w:val="both"/>
              <w:rPr>
                <w:sz w:val="24"/>
              </w:rPr>
            </w:pPr>
            <w:r>
              <w:rPr>
                <w:rFonts w:hint="eastAsia"/>
                <w:sz w:val="24"/>
                <w:lang w:val="en-US" w:eastAsia="zh-CN"/>
              </w:rPr>
              <w:t>120</w:t>
            </w:r>
            <w:r>
              <w:rPr>
                <w:sz w:val="24"/>
              </w:rPr>
              <w:t>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1" w:hRule="atLeast"/>
        </w:trPr>
        <w:tc>
          <w:tcPr>
            <w:tcW w:w="2116" w:type="dxa"/>
            <w:noWrap w:val="0"/>
            <w:vAlign w:val="center"/>
          </w:tcPr>
          <w:p>
            <w:pPr>
              <w:pStyle w:val="12"/>
              <w:spacing w:before="12"/>
              <w:jc w:val="left"/>
              <w:rPr>
                <w:b/>
                <w:sz w:val="17"/>
              </w:rPr>
            </w:pPr>
          </w:p>
          <w:p>
            <w:pPr>
              <w:pStyle w:val="12"/>
              <w:spacing w:before="0"/>
              <w:ind w:left="614" w:right="486"/>
              <w:rPr>
                <w:rFonts w:hint="eastAsia" w:ascii="宋体" w:eastAsia="宋体"/>
                <w:b/>
                <w:sz w:val="24"/>
              </w:rPr>
            </w:pPr>
            <w:r>
              <w:rPr>
                <w:b/>
                <w:sz w:val="24"/>
              </w:rPr>
              <w:t>科室</w:t>
            </w:r>
            <w:r>
              <w:rPr>
                <w:rFonts w:hint="eastAsia" w:ascii="宋体" w:eastAsia="宋体"/>
                <w:b/>
                <w:w w:val="99"/>
                <w:sz w:val="24"/>
              </w:rPr>
              <w:t xml:space="preserve"> </w:t>
            </w:r>
          </w:p>
        </w:tc>
        <w:tc>
          <w:tcPr>
            <w:tcW w:w="6946" w:type="dxa"/>
            <w:gridSpan w:val="3"/>
            <w:noWrap w:val="0"/>
            <w:vAlign w:val="center"/>
          </w:tcPr>
          <w:p>
            <w:pPr>
              <w:pStyle w:val="12"/>
              <w:spacing w:before="2" w:line="360" w:lineRule="exact"/>
              <w:ind w:left="106" w:right="107"/>
              <w:jc w:val="left"/>
              <w:rPr>
                <w:sz w:val="24"/>
              </w:rPr>
            </w:pPr>
            <w:r>
              <w:rPr>
                <w:sz w:val="24"/>
              </w:rPr>
              <w:t>内科、外科、妇科、</w:t>
            </w:r>
            <w:r>
              <w:rPr>
                <w:rFonts w:hint="eastAsia"/>
                <w:sz w:val="24"/>
                <w:lang w:eastAsia="zh-CN"/>
              </w:rPr>
              <w:t>康复科</w:t>
            </w:r>
            <w:r>
              <w:rPr>
                <w:sz w:val="24"/>
              </w:rPr>
              <w:t>、儿科、耳鼻咽喉等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2116" w:type="dxa"/>
            <w:noWrap w:val="0"/>
            <w:vAlign w:val="center"/>
          </w:tcPr>
          <w:p>
            <w:pPr>
              <w:pStyle w:val="12"/>
              <w:spacing w:before="96"/>
              <w:ind w:left="614" w:right="486"/>
              <w:rPr>
                <w:rFonts w:hint="eastAsia" w:ascii="宋体" w:eastAsia="宋体"/>
                <w:b/>
                <w:sz w:val="24"/>
              </w:rPr>
            </w:pPr>
            <w:r>
              <w:rPr>
                <w:b/>
                <w:sz w:val="24"/>
              </w:rPr>
              <w:t>地址</w:t>
            </w:r>
            <w:r>
              <w:rPr>
                <w:rFonts w:hint="eastAsia" w:ascii="宋体" w:eastAsia="宋体"/>
                <w:b/>
                <w:w w:val="99"/>
                <w:sz w:val="24"/>
              </w:rPr>
              <w:t xml:space="preserve"> </w:t>
            </w:r>
          </w:p>
        </w:tc>
        <w:tc>
          <w:tcPr>
            <w:tcW w:w="6946" w:type="dxa"/>
            <w:gridSpan w:val="3"/>
            <w:noWrap w:val="0"/>
            <w:vAlign w:val="center"/>
          </w:tcPr>
          <w:p>
            <w:pPr>
              <w:pStyle w:val="12"/>
              <w:spacing w:before="96"/>
              <w:jc w:val="left"/>
              <w:rPr>
                <w:sz w:val="24"/>
              </w:rPr>
            </w:pPr>
            <w:r>
              <w:rPr>
                <w:rFonts w:hint="eastAsia"/>
                <w:sz w:val="24"/>
              </w:rPr>
              <w:t>永泰县城峰镇龙头路20号永泰县中医院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16" w:type="dxa"/>
            <w:noWrap w:val="0"/>
            <w:vAlign w:val="center"/>
          </w:tcPr>
          <w:p>
            <w:pPr>
              <w:pStyle w:val="12"/>
              <w:spacing w:before="98"/>
              <w:ind w:left="614" w:right="487"/>
              <w:rPr>
                <w:rFonts w:hint="eastAsia" w:ascii="宋体" w:eastAsia="宋体"/>
                <w:b/>
                <w:sz w:val="24"/>
              </w:rPr>
            </w:pPr>
            <w:r>
              <w:rPr>
                <w:b/>
                <w:sz w:val="24"/>
              </w:rPr>
              <w:t>值班电话</w:t>
            </w:r>
            <w:r>
              <w:rPr>
                <w:rFonts w:hint="eastAsia" w:ascii="宋体" w:eastAsia="宋体"/>
                <w:b/>
                <w:w w:val="99"/>
                <w:sz w:val="24"/>
              </w:rPr>
              <w:t xml:space="preserve"> </w:t>
            </w:r>
          </w:p>
        </w:tc>
        <w:tc>
          <w:tcPr>
            <w:tcW w:w="6946" w:type="dxa"/>
            <w:gridSpan w:val="3"/>
            <w:noWrap w:val="0"/>
            <w:vAlign w:val="center"/>
          </w:tcPr>
          <w:p>
            <w:pPr>
              <w:pStyle w:val="12"/>
              <w:spacing w:before="98"/>
              <w:ind w:right="24"/>
              <w:jc w:val="both"/>
              <w:rPr>
                <w:rFonts w:hint="default" w:eastAsia="仿宋"/>
                <w:sz w:val="24"/>
                <w:lang w:val="en-US" w:eastAsia="zh-CN"/>
              </w:rPr>
            </w:pPr>
            <w:r>
              <w:rPr>
                <w:rFonts w:hint="eastAsia"/>
                <w:sz w:val="24"/>
                <w:lang w:val="en-US" w:eastAsia="zh-CN"/>
              </w:rPr>
              <w:t>0591-24837308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9062" w:type="dxa"/>
            <w:gridSpan w:val="4"/>
            <w:noWrap w:val="0"/>
            <w:vAlign w:val="center"/>
          </w:tcPr>
          <w:p>
            <w:pPr>
              <w:pStyle w:val="12"/>
              <w:spacing w:before="97"/>
              <w:ind w:left="107"/>
              <w:jc w:val="left"/>
              <w:rPr>
                <w:rFonts w:hint="eastAsia" w:ascii="宋体" w:eastAsia="宋体"/>
                <w:sz w:val="24"/>
              </w:rPr>
            </w:pPr>
            <w:r>
              <w:rPr>
                <w:rFonts w:hint="eastAsia"/>
                <w:sz w:val="24"/>
              </w:rPr>
              <w:t>二、</w:t>
            </w:r>
            <w:r>
              <w:rPr>
                <w:rFonts w:hint="eastAsia"/>
                <w:sz w:val="24"/>
                <w:lang w:eastAsia="zh-CN"/>
              </w:rPr>
              <w:t>福建省永泰县医院</w:t>
            </w: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2116" w:type="dxa"/>
            <w:noWrap w:val="0"/>
            <w:vAlign w:val="center"/>
          </w:tcPr>
          <w:p>
            <w:pPr>
              <w:pStyle w:val="12"/>
              <w:spacing w:before="97"/>
              <w:ind w:left="614" w:leftChars="0" w:right="487" w:rightChars="0"/>
              <w:rPr>
                <w:rFonts w:hint="eastAsia" w:ascii="宋体" w:eastAsia="宋体"/>
                <w:b/>
                <w:sz w:val="24"/>
              </w:rPr>
            </w:pPr>
            <w:r>
              <w:rPr>
                <w:b/>
                <w:sz w:val="24"/>
              </w:rPr>
              <w:t>医院名称</w:t>
            </w:r>
            <w:r>
              <w:rPr>
                <w:rFonts w:hint="eastAsia" w:ascii="宋体" w:eastAsia="宋体"/>
                <w:b/>
                <w:w w:val="99"/>
                <w:sz w:val="24"/>
              </w:rPr>
              <w:t xml:space="preserve"> </w:t>
            </w:r>
          </w:p>
        </w:tc>
        <w:tc>
          <w:tcPr>
            <w:tcW w:w="3169" w:type="dxa"/>
            <w:noWrap w:val="0"/>
            <w:vAlign w:val="center"/>
          </w:tcPr>
          <w:p>
            <w:pPr>
              <w:pStyle w:val="12"/>
              <w:spacing w:before="2" w:line="360" w:lineRule="exact"/>
              <w:ind w:left="106" w:right="107"/>
              <w:jc w:val="center"/>
              <w:rPr>
                <w:rFonts w:hint="eastAsia"/>
                <w:sz w:val="24"/>
              </w:rPr>
            </w:pPr>
            <w:r>
              <w:rPr>
                <w:rFonts w:hint="eastAsia"/>
                <w:sz w:val="24"/>
                <w:lang w:eastAsia="zh-CN"/>
              </w:rPr>
              <w:t>福建省永泰县医院</w:t>
            </w:r>
          </w:p>
        </w:tc>
        <w:tc>
          <w:tcPr>
            <w:tcW w:w="1360" w:type="dxa"/>
            <w:noWrap w:val="0"/>
            <w:vAlign w:val="center"/>
          </w:tcPr>
          <w:p>
            <w:pPr>
              <w:pStyle w:val="12"/>
              <w:spacing w:before="2" w:line="360" w:lineRule="exact"/>
              <w:ind w:left="106" w:right="107"/>
              <w:jc w:val="left"/>
              <w:rPr>
                <w:rFonts w:hint="eastAsia"/>
                <w:sz w:val="24"/>
              </w:rPr>
            </w:pPr>
            <w:r>
              <w:rPr>
                <w:sz w:val="24"/>
              </w:rPr>
              <w:t>类 型</w:t>
            </w:r>
            <w:r>
              <w:rPr>
                <w:rFonts w:hint="eastAsia"/>
                <w:sz w:val="24"/>
              </w:rPr>
              <w:t xml:space="preserve"> </w:t>
            </w:r>
          </w:p>
        </w:tc>
        <w:tc>
          <w:tcPr>
            <w:tcW w:w="2417" w:type="dxa"/>
            <w:noWrap w:val="0"/>
            <w:vAlign w:val="center"/>
          </w:tcPr>
          <w:p>
            <w:pPr>
              <w:pStyle w:val="12"/>
              <w:spacing w:before="97"/>
              <w:ind w:right="597" w:rightChars="0"/>
              <w:jc w:val="both"/>
              <w:rPr>
                <w:rFonts w:hint="eastAsia" w:ascii="宋体" w:eastAsia="宋体"/>
                <w:sz w:val="24"/>
              </w:rPr>
            </w:pPr>
            <w:r>
              <w:rPr>
                <w:rFonts w:hint="eastAsia"/>
                <w:sz w:val="24"/>
                <w:lang w:eastAsia="zh-CN"/>
              </w:rPr>
              <w:t>二</w:t>
            </w:r>
            <w:r>
              <w:rPr>
                <w:sz w:val="24"/>
              </w:rPr>
              <w:t>级甲等</w:t>
            </w:r>
            <w:r>
              <w:rPr>
                <w:rFonts w:hint="eastAsia" w:ascii="宋体" w:eastAsia="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2116" w:type="dxa"/>
            <w:noWrap w:val="0"/>
            <w:vAlign w:val="center"/>
          </w:tcPr>
          <w:p>
            <w:pPr>
              <w:pStyle w:val="12"/>
              <w:spacing w:before="98"/>
              <w:ind w:left="614" w:leftChars="0" w:right="487" w:rightChars="0"/>
              <w:rPr>
                <w:rFonts w:hint="eastAsia" w:ascii="宋体" w:eastAsia="宋体"/>
                <w:b/>
                <w:sz w:val="24"/>
              </w:rPr>
            </w:pPr>
            <w:r>
              <w:rPr>
                <w:b/>
                <w:sz w:val="24"/>
              </w:rPr>
              <w:t>医务人员</w:t>
            </w:r>
            <w:r>
              <w:rPr>
                <w:rFonts w:hint="eastAsia" w:ascii="宋体" w:eastAsia="宋体"/>
                <w:b/>
                <w:w w:val="99"/>
                <w:sz w:val="24"/>
              </w:rPr>
              <w:t xml:space="preserve"> </w:t>
            </w:r>
          </w:p>
        </w:tc>
        <w:tc>
          <w:tcPr>
            <w:tcW w:w="3169" w:type="dxa"/>
            <w:noWrap w:val="0"/>
            <w:vAlign w:val="center"/>
          </w:tcPr>
          <w:p>
            <w:pPr>
              <w:pStyle w:val="12"/>
              <w:spacing w:before="98"/>
              <w:ind w:left="183" w:leftChars="0" w:right="175" w:rightChars="0"/>
              <w:rPr>
                <w:sz w:val="24"/>
              </w:rPr>
            </w:pPr>
            <w:r>
              <w:rPr>
                <w:rFonts w:hint="eastAsia"/>
                <w:sz w:val="24"/>
                <w:lang w:val="en-US" w:eastAsia="zh-CN"/>
              </w:rPr>
              <w:t xml:space="preserve"> 530 </w:t>
            </w:r>
            <w:r>
              <w:rPr>
                <w:sz w:val="24"/>
              </w:rPr>
              <w:t>名</w:t>
            </w:r>
          </w:p>
        </w:tc>
        <w:tc>
          <w:tcPr>
            <w:tcW w:w="1360" w:type="dxa"/>
            <w:noWrap w:val="0"/>
            <w:vAlign w:val="center"/>
          </w:tcPr>
          <w:p>
            <w:pPr>
              <w:pStyle w:val="12"/>
              <w:spacing w:before="98"/>
              <w:ind w:left="318" w:leftChars="0"/>
              <w:jc w:val="left"/>
              <w:rPr>
                <w:b/>
                <w:sz w:val="24"/>
              </w:rPr>
            </w:pPr>
            <w:r>
              <w:rPr>
                <w:b/>
                <w:sz w:val="24"/>
              </w:rPr>
              <w:t>床位数</w:t>
            </w:r>
          </w:p>
        </w:tc>
        <w:tc>
          <w:tcPr>
            <w:tcW w:w="2417" w:type="dxa"/>
            <w:noWrap w:val="0"/>
            <w:vAlign w:val="center"/>
          </w:tcPr>
          <w:p>
            <w:pPr>
              <w:pStyle w:val="12"/>
              <w:spacing w:before="98"/>
              <w:ind w:right="820" w:rightChars="0"/>
              <w:jc w:val="both"/>
              <w:rPr>
                <w:sz w:val="24"/>
              </w:rPr>
            </w:pPr>
            <w:r>
              <w:rPr>
                <w:rFonts w:hint="eastAsia"/>
                <w:sz w:val="24"/>
                <w:lang w:val="en-US" w:eastAsia="zh-CN"/>
              </w:rPr>
              <w:t>480</w:t>
            </w:r>
            <w:r>
              <w:rPr>
                <w:sz w:val="24"/>
              </w:rPr>
              <w:t xml:space="preserve"> 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1" w:hRule="atLeast"/>
        </w:trPr>
        <w:tc>
          <w:tcPr>
            <w:tcW w:w="2116" w:type="dxa"/>
            <w:noWrap w:val="0"/>
            <w:vAlign w:val="center"/>
          </w:tcPr>
          <w:p>
            <w:pPr>
              <w:pStyle w:val="12"/>
              <w:spacing w:before="0"/>
              <w:jc w:val="left"/>
              <w:rPr>
                <w:b/>
                <w:sz w:val="24"/>
              </w:rPr>
            </w:pPr>
          </w:p>
          <w:p>
            <w:pPr>
              <w:pStyle w:val="12"/>
              <w:spacing w:before="0"/>
              <w:jc w:val="left"/>
              <w:rPr>
                <w:b/>
                <w:sz w:val="24"/>
              </w:rPr>
            </w:pPr>
          </w:p>
          <w:p>
            <w:pPr>
              <w:pStyle w:val="12"/>
              <w:spacing w:before="3"/>
              <w:jc w:val="left"/>
              <w:rPr>
                <w:b/>
                <w:sz w:val="26"/>
              </w:rPr>
            </w:pPr>
          </w:p>
          <w:p>
            <w:pPr>
              <w:pStyle w:val="12"/>
              <w:spacing w:before="0"/>
              <w:ind w:left="614" w:right="486"/>
              <w:rPr>
                <w:rFonts w:hint="eastAsia" w:ascii="宋体" w:eastAsia="宋体"/>
                <w:b/>
                <w:sz w:val="24"/>
              </w:rPr>
            </w:pPr>
            <w:r>
              <w:rPr>
                <w:b/>
                <w:sz w:val="24"/>
              </w:rPr>
              <w:t>科室</w:t>
            </w:r>
            <w:r>
              <w:rPr>
                <w:rFonts w:hint="eastAsia" w:ascii="宋体" w:eastAsia="宋体"/>
                <w:b/>
                <w:w w:val="99"/>
                <w:sz w:val="24"/>
              </w:rPr>
              <w:t xml:space="preserve"> </w:t>
            </w:r>
          </w:p>
        </w:tc>
        <w:tc>
          <w:tcPr>
            <w:tcW w:w="694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pacing w:val="-6"/>
                <w:kern w:val="2"/>
                <w:sz w:val="24"/>
                <w:lang w:val="zh-CN" w:eastAsia="zh-CN" w:bidi="zh-CN"/>
              </w:rPr>
            </w:pPr>
            <w:r>
              <w:rPr>
                <w:rFonts w:hint="eastAsia" w:ascii="仿宋" w:hAnsi="仿宋" w:eastAsia="仿宋" w:cs="仿宋"/>
                <w:b w:val="0"/>
                <w:bCs w:val="0"/>
                <w:spacing w:val="-6"/>
                <w:kern w:val="2"/>
                <w:sz w:val="24"/>
                <w:lang w:val="zh-CN" w:eastAsia="zh-CN" w:bidi="zh-CN"/>
              </w:rPr>
              <w:t>预防保健科/全科医疗科/内科/外科：骨科专业；泌尿外科专业/妇产科；生殖健康与不孕症专业/儿科/小儿外科/眼科/耳鼻咽喉科/口腔科；口腔种植专业</w:t>
            </w:r>
            <w:r>
              <w:rPr>
                <w:rFonts w:hint="eastAsia" w:ascii="仿宋" w:hAnsi="仿宋" w:eastAsia="仿宋" w:cs="仿宋"/>
                <w:b w:val="0"/>
                <w:bCs w:val="0"/>
                <w:spacing w:val="-6"/>
                <w:kern w:val="2"/>
                <w:sz w:val="24"/>
                <w:lang w:val="en-US" w:eastAsia="zh-CN" w:bidi="zh-CN"/>
              </w:rPr>
              <w:t xml:space="preserve"> </w:t>
            </w:r>
            <w:r>
              <w:rPr>
                <w:rFonts w:hint="eastAsia" w:ascii="仿宋" w:hAnsi="仿宋" w:eastAsia="仿宋" w:cs="仿宋"/>
                <w:b w:val="0"/>
                <w:bCs w:val="0"/>
                <w:spacing w:val="-6"/>
                <w:kern w:val="2"/>
                <w:sz w:val="24"/>
                <w:lang w:val="zh-CN" w:eastAsia="zh-CN" w:bidi="zh-CN"/>
              </w:rPr>
              <w:t>/皮肤科；性传播疾病专业/精神科/传染科/结核病科/肿瘤科/急诊医学科/康复医学科/运动医学科/麻醉科/重症医学科/医学检验科；临床体液、血液专业；临床微生物学专业；临床化学检验专业；临床免疫、血清学专业；临床细胞分子遗传学专业；其他/病理科/医学影像科/中医科/计划生育技术服务项目：放、取宫内节育器、人工流产、药物流产、钳刮术、中期引产、输卵（精）管绝育、</w:t>
            </w:r>
            <w:r>
              <w:rPr>
                <w:rFonts w:hint="eastAsia" w:ascii="仿宋" w:hAnsi="仿宋" w:eastAsia="仿宋" w:cs="仿宋"/>
                <w:b w:val="0"/>
                <w:bCs w:val="0"/>
                <w:spacing w:val="-6"/>
                <w:kern w:val="2"/>
                <w:sz w:val="24"/>
                <w:lang w:val="en-US" w:eastAsia="zh-CN" w:bidi="zh-CN"/>
              </w:rPr>
              <w:t xml:space="preserve"> </w:t>
            </w:r>
            <w:r>
              <w:rPr>
                <w:rFonts w:hint="eastAsia" w:ascii="仿宋" w:hAnsi="仿宋" w:eastAsia="仿宋" w:cs="仿宋"/>
                <w:b w:val="0"/>
                <w:bCs w:val="0"/>
                <w:spacing w:val="-6"/>
                <w:kern w:val="2"/>
                <w:sz w:val="24"/>
                <w:lang w:val="zh-CN" w:eastAsia="zh-CN" w:bidi="zh-CN"/>
              </w:rPr>
              <w:t>吻合术****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pacing w:val="-6"/>
                <w:kern w:val="2"/>
                <w:sz w:val="24"/>
                <w:lang w:val="zh-CN" w:eastAsia="zh-CN" w:bidi="zh-CN"/>
              </w:rPr>
            </w:pPr>
            <w:r>
              <w:rPr>
                <w:rFonts w:hint="eastAsia" w:ascii="仿宋" w:hAnsi="仿宋" w:eastAsia="仿宋" w:cs="仿宋"/>
                <w:b w:val="0"/>
                <w:bCs w:val="0"/>
                <w:spacing w:val="-6"/>
                <w:kern w:val="2"/>
                <w:sz w:val="24"/>
                <w:lang w:val="zh-CN" w:eastAsia="zh-CN" w:bidi="zh-CN"/>
              </w:rPr>
              <w:t>肾内科：血液速析/外科一震滇碎石/体检科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pacing w:val="-6"/>
                <w:kern w:val="2"/>
                <w:sz w:val="24"/>
                <w:lang w:val="zh-CN" w:eastAsia="zh-CN" w:bidi="zh-CN"/>
              </w:rPr>
            </w:pPr>
            <w:r>
              <w:rPr>
                <w:rFonts w:hint="eastAsia" w:ascii="仿宋" w:hAnsi="仿宋" w:eastAsia="仿宋" w:cs="仿宋"/>
                <w:b w:val="0"/>
                <w:bCs w:val="0"/>
                <w:spacing w:val="-6"/>
                <w:kern w:val="2"/>
                <w:sz w:val="24"/>
                <w:lang w:val="zh-CN" w:eastAsia="zh-CN" w:bidi="zh-CN"/>
              </w:rPr>
              <w:t>内科；胃肠镜检查/，骨科：人工关节置换技术</w:t>
            </w:r>
          </w:p>
          <w:p>
            <w:pPr>
              <w:pStyle w:val="12"/>
              <w:spacing w:before="1" w:line="289" w:lineRule="exact"/>
              <w:ind w:left="106"/>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trPr>
        <w:tc>
          <w:tcPr>
            <w:tcW w:w="2116" w:type="dxa"/>
            <w:noWrap w:val="0"/>
            <w:vAlign w:val="center"/>
          </w:tcPr>
          <w:p>
            <w:pPr>
              <w:pStyle w:val="12"/>
              <w:spacing w:before="12"/>
              <w:jc w:val="left"/>
              <w:rPr>
                <w:b/>
                <w:sz w:val="17"/>
              </w:rPr>
            </w:pPr>
          </w:p>
          <w:p>
            <w:pPr>
              <w:pStyle w:val="12"/>
              <w:spacing w:before="0"/>
              <w:ind w:left="614" w:right="486"/>
              <w:rPr>
                <w:rFonts w:hint="eastAsia" w:ascii="宋体" w:eastAsia="宋体"/>
                <w:b/>
                <w:sz w:val="24"/>
              </w:rPr>
            </w:pPr>
            <w:r>
              <w:rPr>
                <w:b/>
                <w:sz w:val="24"/>
              </w:rPr>
              <w:t>地址</w:t>
            </w:r>
            <w:r>
              <w:rPr>
                <w:rFonts w:hint="eastAsia" w:ascii="宋体" w:eastAsia="宋体"/>
                <w:b/>
                <w:w w:val="99"/>
                <w:sz w:val="24"/>
              </w:rPr>
              <w:t xml:space="preserve"> </w:t>
            </w:r>
          </w:p>
        </w:tc>
        <w:tc>
          <w:tcPr>
            <w:tcW w:w="6946" w:type="dxa"/>
            <w:gridSpan w:val="3"/>
            <w:noWrap w:val="0"/>
            <w:vAlign w:val="center"/>
          </w:tcPr>
          <w:p>
            <w:pPr>
              <w:pStyle w:val="12"/>
              <w:spacing w:before="52" w:line="289" w:lineRule="exact"/>
              <w:ind w:left="30" w:right="24"/>
              <w:rPr>
                <w:rFonts w:hint="default"/>
                <w:sz w:val="24"/>
                <w:lang w:val="en-US"/>
              </w:rPr>
            </w:pPr>
            <w:r>
              <w:rPr>
                <w:rFonts w:hint="eastAsia"/>
                <w:sz w:val="24"/>
                <w:lang w:eastAsia="zh-CN"/>
              </w:rPr>
              <w:t>永泰县樟城镇富裕新村</w:t>
            </w:r>
            <w:r>
              <w:rPr>
                <w:rFonts w:hint="eastAsia"/>
                <w:sz w:val="24"/>
                <w:lang w:val="en-US" w:eastAsia="zh-CN"/>
              </w:rPr>
              <w:t>107号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0" w:hRule="atLeast"/>
        </w:trPr>
        <w:tc>
          <w:tcPr>
            <w:tcW w:w="2116" w:type="dxa"/>
            <w:noWrap w:val="0"/>
            <w:vAlign w:val="center"/>
          </w:tcPr>
          <w:p>
            <w:pPr>
              <w:pStyle w:val="12"/>
              <w:spacing w:before="98"/>
              <w:ind w:left="614" w:right="487"/>
              <w:rPr>
                <w:rFonts w:hint="eastAsia" w:ascii="宋体" w:eastAsia="宋体"/>
                <w:b/>
                <w:sz w:val="24"/>
              </w:rPr>
            </w:pPr>
            <w:r>
              <w:rPr>
                <w:b/>
                <w:sz w:val="24"/>
              </w:rPr>
              <w:t>值班电话</w:t>
            </w:r>
            <w:r>
              <w:rPr>
                <w:rFonts w:hint="eastAsia" w:ascii="宋体" w:eastAsia="宋体"/>
                <w:b/>
                <w:w w:val="99"/>
                <w:sz w:val="24"/>
              </w:rPr>
              <w:t xml:space="preserve"> </w:t>
            </w:r>
          </w:p>
        </w:tc>
        <w:tc>
          <w:tcPr>
            <w:tcW w:w="6946" w:type="dxa"/>
            <w:gridSpan w:val="3"/>
            <w:noWrap w:val="0"/>
            <w:vAlign w:val="center"/>
          </w:tcPr>
          <w:p>
            <w:pPr>
              <w:pStyle w:val="12"/>
              <w:spacing w:before="98"/>
              <w:ind w:left="510" w:right="24"/>
              <w:rPr>
                <w:rFonts w:hint="default" w:eastAsia="仿宋"/>
                <w:sz w:val="24"/>
                <w:lang w:val="en-US" w:eastAsia="zh-CN"/>
              </w:rPr>
            </w:pPr>
            <w:r>
              <w:rPr>
                <w:rFonts w:hint="eastAsia"/>
                <w:sz w:val="24"/>
                <w:lang w:val="en-US" w:eastAsia="zh-CN"/>
              </w:rPr>
              <w:t>0591-24832295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9062" w:type="dxa"/>
            <w:gridSpan w:val="4"/>
            <w:noWrap w:val="0"/>
            <w:vAlign w:val="center"/>
          </w:tcPr>
          <w:p>
            <w:pPr>
              <w:pStyle w:val="12"/>
              <w:spacing w:before="97"/>
              <w:ind w:left="107"/>
              <w:jc w:val="left"/>
              <w:rPr>
                <w:rFonts w:hint="eastAsia" w:ascii="宋体" w:eastAsia="宋体"/>
                <w:sz w:val="24"/>
              </w:rPr>
            </w:pPr>
            <w:r>
              <w:rPr>
                <w:sz w:val="24"/>
              </w:rPr>
              <w:t>三、</w:t>
            </w:r>
            <w:r>
              <w:rPr>
                <w:rFonts w:hint="eastAsia"/>
                <w:sz w:val="24"/>
                <w:lang w:val="en-US" w:eastAsia="zh-CN"/>
              </w:rPr>
              <w:t>永泰县妇幼保健院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16" w:type="dxa"/>
            <w:noWrap w:val="0"/>
            <w:vAlign w:val="center"/>
          </w:tcPr>
          <w:p>
            <w:pPr>
              <w:pStyle w:val="12"/>
              <w:spacing w:before="98"/>
              <w:ind w:left="614" w:right="487"/>
              <w:rPr>
                <w:rFonts w:hint="eastAsia" w:ascii="宋体" w:eastAsia="宋体"/>
                <w:b/>
                <w:sz w:val="24"/>
              </w:rPr>
            </w:pPr>
            <w:r>
              <w:rPr>
                <w:b/>
                <w:sz w:val="24"/>
              </w:rPr>
              <w:t>医院名称</w:t>
            </w:r>
            <w:r>
              <w:rPr>
                <w:rFonts w:hint="eastAsia" w:ascii="宋体" w:eastAsia="宋体"/>
                <w:b/>
                <w:w w:val="99"/>
                <w:sz w:val="24"/>
              </w:rPr>
              <w:t xml:space="preserve"> </w:t>
            </w:r>
          </w:p>
        </w:tc>
        <w:tc>
          <w:tcPr>
            <w:tcW w:w="3169" w:type="dxa"/>
            <w:noWrap w:val="0"/>
            <w:vAlign w:val="center"/>
          </w:tcPr>
          <w:p>
            <w:pPr>
              <w:pStyle w:val="12"/>
              <w:spacing w:before="98"/>
              <w:ind w:left="303" w:right="175"/>
              <w:rPr>
                <w:rFonts w:hint="eastAsia" w:ascii="宋体" w:eastAsia="宋体"/>
                <w:sz w:val="24"/>
              </w:rPr>
            </w:pPr>
            <w:r>
              <w:rPr>
                <w:rFonts w:hint="eastAsia"/>
                <w:sz w:val="24"/>
                <w:lang w:val="en-US" w:eastAsia="zh-CN"/>
              </w:rPr>
              <w:t>永泰县妇幼保健院</w:t>
            </w:r>
          </w:p>
        </w:tc>
        <w:tc>
          <w:tcPr>
            <w:tcW w:w="1360" w:type="dxa"/>
            <w:noWrap w:val="0"/>
            <w:vAlign w:val="center"/>
          </w:tcPr>
          <w:p>
            <w:pPr>
              <w:pStyle w:val="12"/>
              <w:spacing w:before="98"/>
              <w:ind w:left="318"/>
              <w:jc w:val="left"/>
              <w:rPr>
                <w:rFonts w:hint="eastAsia" w:ascii="宋体" w:eastAsia="宋体"/>
                <w:b/>
                <w:sz w:val="24"/>
              </w:rPr>
            </w:pPr>
            <w:r>
              <w:rPr>
                <w:b/>
                <w:sz w:val="24"/>
              </w:rPr>
              <w:t>类 型</w:t>
            </w:r>
            <w:r>
              <w:rPr>
                <w:rFonts w:hint="eastAsia" w:ascii="宋体" w:eastAsia="宋体"/>
                <w:b/>
                <w:w w:val="99"/>
                <w:sz w:val="24"/>
              </w:rPr>
              <w:t xml:space="preserve"> </w:t>
            </w:r>
          </w:p>
        </w:tc>
        <w:tc>
          <w:tcPr>
            <w:tcW w:w="2417" w:type="dxa"/>
            <w:noWrap w:val="0"/>
            <w:vAlign w:val="center"/>
          </w:tcPr>
          <w:p>
            <w:pPr>
              <w:pStyle w:val="12"/>
              <w:spacing w:before="98"/>
              <w:ind w:right="597"/>
              <w:jc w:val="both"/>
              <w:rPr>
                <w:rFonts w:hint="eastAsia" w:ascii="宋体" w:eastAsia="宋体"/>
                <w:sz w:val="24"/>
              </w:rPr>
            </w:pPr>
            <w:r>
              <w:rPr>
                <w:rFonts w:hint="eastAsia"/>
                <w:sz w:val="24"/>
                <w:lang w:val="en-US" w:eastAsia="zh-CN"/>
              </w:rPr>
              <w:t>未定级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16" w:type="dxa"/>
            <w:noWrap w:val="0"/>
            <w:vAlign w:val="center"/>
          </w:tcPr>
          <w:p>
            <w:pPr>
              <w:pStyle w:val="12"/>
              <w:spacing w:before="98"/>
              <w:ind w:left="614" w:right="487"/>
              <w:rPr>
                <w:rFonts w:hint="eastAsia" w:ascii="宋体" w:eastAsia="宋体"/>
                <w:b/>
                <w:sz w:val="24"/>
              </w:rPr>
            </w:pPr>
            <w:r>
              <w:rPr>
                <w:b/>
                <w:sz w:val="24"/>
              </w:rPr>
              <w:t>医务人员</w:t>
            </w:r>
            <w:r>
              <w:rPr>
                <w:rFonts w:hint="eastAsia" w:ascii="宋体" w:eastAsia="宋体"/>
                <w:b/>
                <w:w w:val="99"/>
                <w:sz w:val="24"/>
              </w:rPr>
              <w:t xml:space="preserve"> </w:t>
            </w:r>
          </w:p>
        </w:tc>
        <w:tc>
          <w:tcPr>
            <w:tcW w:w="3169" w:type="dxa"/>
            <w:noWrap w:val="0"/>
            <w:vAlign w:val="center"/>
          </w:tcPr>
          <w:p>
            <w:pPr>
              <w:pStyle w:val="12"/>
              <w:spacing w:before="98"/>
              <w:ind w:left="183" w:right="175"/>
              <w:rPr>
                <w:sz w:val="24"/>
              </w:rPr>
            </w:pPr>
            <w:r>
              <w:rPr>
                <w:rFonts w:hint="eastAsia"/>
                <w:sz w:val="24"/>
              </w:rPr>
              <w:t>48</w:t>
            </w:r>
            <w:r>
              <w:rPr>
                <w:sz w:val="24"/>
              </w:rPr>
              <w:t>名</w:t>
            </w:r>
          </w:p>
        </w:tc>
        <w:tc>
          <w:tcPr>
            <w:tcW w:w="1360" w:type="dxa"/>
            <w:noWrap w:val="0"/>
            <w:vAlign w:val="center"/>
          </w:tcPr>
          <w:p>
            <w:pPr>
              <w:pStyle w:val="12"/>
              <w:spacing w:before="98"/>
              <w:ind w:left="318"/>
              <w:jc w:val="left"/>
              <w:rPr>
                <w:b/>
                <w:sz w:val="24"/>
              </w:rPr>
            </w:pPr>
            <w:r>
              <w:rPr>
                <w:b/>
                <w:sz w:val="24"/>
              </w:rPr>
              <w:t>床位数</w:t>
            </w:r>
          </w:p>
        </w:tc>
        <w:tc>
          <w:tcPr>
            <w:tcW w:w="2417" w:type="dxa"/>
            <w:noWrap w:val="0"/>
            <w:vAlign w:val="center"/>
          </w:tcPr>
          <w:p>
            <w:pPr>
              <w:pStyle w:val="12"/>
              <w:spacing w:before="98"/>
              <w:ind w:right="820"/>
              <w:jc w:val="both"/>
              <w:rPr>
                <w:sz w:val="24"/>
              </w:rPr>
            </w:pPr>
            <w:r>
              <w:rPr>
                <w:rFonts w:hint="eastAsia"/>
                <w:sz w:val="24"/>
                <w:lang w:val="en-US" w:eastAsia="zh-CN"/>
              </w:rPr>
              <w:t>0</w:t>
            </w:r>
            <w:r>
              <w:rPr>
                <w:sz w:val="24"/>
              </w:rPr>
              <w:t>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trPr>
        <w:tc>
          <w:tcPr>
            <w:tcW w:w="2116" w:type="dxa"/>
            <w:noWrap w:val="0"/>
            <w:vAlign w:val="center"/>
          </w:tcPr>
          <w:p>
            <w:pPr>
              <w:pStyle w:val="12"/>
              <w:spacing w:before="0"/>
              <w:jc w:val="left"/>
              <w:rPr>
                <w:b/>
                <w:sz w:val="32"/>
              </w:rPr>
            </w:pPr>
          </w:p>
          <w:p>
            <w:pPr>
              <w:pStyle w:val="12"/>
              <w:spacing w:before="0"/>
              <w:ind w:left="614" w:right="486"/>
              <w:rPr>
                <w:rFonts w:hint="eastAsia" w:ascii="宋体" w:eastAsia="宋体"/>
                <w:b/>
                <w:sz w:val="24"/>
              </w:rPr>
            </w:pPr>
            <w:r>
              <w:rPr>
                <w:b/>
                <w:sz w:val="24"/>
              </w:rPr>
              <w:t>科室</w:t>
            </w:r>
            <w:r>
              <w:rPr>
                <w:rFonts w:hint="eastAsia" w:ascii="宋体" w:eastAsia="宋体"/>
                <w:b/>
                <w:w w:val="99"/>
                <w:sz w:val="24"/>
              </w:rPr>
              <w:t xml:space="preserve"> </w:t>
            </w:r>
          </w:p>
        </w:tc>
        <w:tc>
          <w:tcPr>
            <w:tcW w:w="6946" w:type="dxa"/>
            <w:gridSpan w:val="3"/>
            <w:noWrap w:val="0"/>
            <w:vAlign w:val="center"/>
          </w:tcPr>
          <w:p>
            <w:pPr>
              <w:pStyle w:val="12"/>
              <w:spacing w:before="2" w:line="360" w:lineRule="exact"/>
              <w:ind w:left="106" w:right="107" w:firstLine="480"/>
              <w:jc w:val="both"/>
              <w:rPr>
                <w:sz w:val="24"/>
              </w:rPr>
            </w:pPr>
            <w:r>
              <w:rPr>
                <w:rFonts w:hint="eastAsia"/>
                <w:sz w:val="24"/>
              </w:rPr>
              <w:t>妇女保健科、妇科、儿科、儿童保健科、中医科、出生缺陷综合防控科、计划生育门诊、预防接种门诊、超声科、检验科、药剂科等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2116" w:type="dxa"/>
            <w:noWrap w:val="0"/>
            <w:vAlign w:val="center"/>
          </w:tcPr>
          <w:p>
            <w:pPr>
              <w:pStyle w:val="12"/>
              <w:spacing w:before="95"/>
              <w:ind w:left="614" w:right="486"/>
              <w:rPr>
                <w:rFonts w:hint="eastAsia" w:ascii="宋体" w:eastAsia="宋体"/>
                <w:b/>
                <w:sz w:val="24"/>
              </w:rPr>
            </w:pPr>
            <w:r>
              <w:rPr>
                <w:b/>
                <w:sz w:val="24"/>
              </w:rPr>
              <w:t>地址</w:t>
            </w:r>
            <w:r>
              <w:rPr>
                <w:rFonts w:hint="eastAsia" w:ascii="宋体" w:eastAsia="宋体"/>
                <w:b/>
                <w:w w:val="99"/>
                <w:sz w:val="24"/>
              </w:rPr>
              <w:t xml:space="preserve"> </w:t>
            </w:r>
          </w:p>
        </w:tc>
        <w:tc>
          <w:tcPr>
            <w:tcW w:w="6946" w:type="dxa"/>
            <w:gridSpan w:val="3"/>
            <w:noWrap w:val="0"/>
            <w:vAlign w:val="center"/>
          </w:tcPr>
          <w:p>
            <w:pPr>
              <w:pStyle w:val="12"/>
              <w:spacing w:before="95"/>
              <w:ind w:left="1671"/>
              <w:jc w:val="left"/>
              <w:rPr>
                <w:sz w:val="24"/>
              </w:rPr>
            </w:pPr>
            <w:r>
              <w:rPr>
                <w:rFonts w:hint="eastAsia"/>
                <w:sz w:val="24"/>
              </w:rPr>
              <w:t>永泰县城峰镇刘岐大道5号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2116" w:type="dxa"/>
            <w:noWrap w:val="0"/>
            <w:vAlign w:val="center"/>
          </w:tcPr>
          <w:p>
            <w:pPr>
              <w:pStyle w:val="12"/>
              <w:spacing w:before="97"/>
              <w:ind w:left="614" w:right="487"/>
              <w:rPr>
                <w:rFonts w:hint="eastAsia" w:ascii="宋体" w:eastAsia="宋体"/>
                <w:b/>
                <w:sz w:val="24"/>
              </w:rPr>
            </w:pPr>
            <w:r>
              <w:rPr>
                <w:b/>
                <w:sz w:val="24"/>
              </w:rPr>
              <w:t>值班电话</w:t>
            </w:r>
            <w:r>
              <w:rPr>
                <w:rFonts w:hint="eastAsia" w:ascii="宋体" w:eastAsia="宋体"/>
                <w:b/>
                <w:w w:val="99"/>
                <w:sz w:val="24"/>
              </w:rPr>
              <w:t xml:space="preserve"> </w:t>
            </w:r>
          </w:p>
        </w:tc>
        <w:tc>
          <w:tcPr>
            <w:tcW w:w="6946" w:type="dxa"/>
            <w:gridSpan w:val="3"/>
            <w:noWrap w:val="0"/>
            <w:vAlign w:val="center"/>
          </w:tcPr>
          <w:p>
            <w:pPr>
              <w:pStyle w:val="12"/>
              <w:spacing w:before="97"/>
              <w:ind w:left="2031"/>
              <w:jc w:val="left"/>
              <w:rPr>
                <w:sz w:val="24"/>
              </w:rPr>
            </w:pPr>
            <w:r>
              <w:rPr>
                <w:rFonts w:hint="eastAsia"/>
                <w:sz w:val="24"/>
              </w:rPr>
              <w:t>0591-24832306</w:t>
            </w:r>
          </w:p>
        </w:tc>
      </w:tr>
    </w:tbl>
    <w:p>
      <w:pPr>
        <w:ind w:left="-840" w:leftChars="-694" w:hanging="617" w:hangingChars="294"/>
      </w:pPr>
    </w:p>
    <w:sectPr>
      <w:pgSz w:w="11906" w:h="16838"/>
      <w:pgMar w:top="1440" w:right="1266" w:bottom="1440" w:left="9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黑体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ZTA5ZGZmMDA4OTM5YjA2N2NjOTBkZmIzN2Y1MGIifQ=="/>
  </w:docVars>
  <w:rsids>
    <w:rsidRoot w:val="00000000"/>
    <w:rsid w:val="267D6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ascii="Times New Roman" w:hAnsi="Times New Roman"/>
    </w:rPr>
  </w:style>
  <w:style w:type="paragraph" w:styleId="3">
    <w:name w:val="Body Text"/>
    <w:basedOn w:val="1"/>
    <w:qFormat/>
    <w:uiPriority w:val="0"/>
    <w:pPr>
      <w:adjustRightInd w:val="0"/>
      <w:spacing w:line="360" w:lineRule="auto"/>
    </w:pPr>
    <w:rPr>
      <w:rFonts w:ascii="仿宋_GB2312" w:eastAsia="仿宋_GB2312"/>
      <w:sz w:val="24"/>
    </w:rPr>
  </w:style>
  <w:style w:type="paragraph" w:styleId="4">
    <w:name w:val="Balloon Text"/>
    <w:basedOn w:val="1"/>
    <w:qFormat/>
    <w:uiPriority w:val="0"/>
    <w:rPr>
      <w:sz w:val="18"/>
      <w:szCs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WPSOffice手动目录 1"/>
    <w:autoRedefine/>
    <w:qFormat/>
    <w:uiPriority w:val="0"/>
    <w:pPr>
      <w:ind w:leftChars="0"/>
    </w:pPr>
    <w:rPr>
      <w:rFonts w:ascii="Calibri" w:hAnsi="Calibri" w:eastAsia="宋体" w:cs="Times New Roman"/>
      <w:sz w:val="20"/>
      <w:szCs w:val="20"/>
    </w:rPr>
  </w:style>
  <w:style w:type="paragraph" w:customStyle="1" w:styleId="12">
    <w:name w:val="Table Paragraph"/>
    <w:basedOn w:val="1"/>
    <w:autoRedefine/>
    <w:qFormat/>
    <w:uiPriority w:val="1"/>
    <w:pPr>
      <w:jc w:val="center"/>
    </w:pPr>
    <w:rPr>
      <w:rFonts w:ascii="仿宋" w:hAnsi="仿宋" w:eastAsia="仿宋" w:cs="仿宋"/>
      <w:lang w:val="zh-CN" w:eastAsia="zh-CN" w:bidi="zh-CN"/>
    </w:rPr>
  </w:style>
  <w:style w:type="paragraph" w:customStyle="1" w:styleId="13">
    <w:name w:val="Default"/>
    <w:basedOn w:val="14"/>
    <w:next w:val="1"/>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14">
    <w:name w:val="List Paragraph"/>
    <w:basedOn w:val="1"/>
    <w:autoRedefine/>
    <w:qFormat/>
    <w:uiPriority w:val="0"/>
    <w:pPr>
      <w:spacing w:before="56"/>
      <w:ind w:left="1495" w:hanging="735"/>
    </w:pPr>
    <w:rPr>
      <w:rFonts w:ascii="仿宋" w:hAnsi="仿宋" w:eastAsia="仿宋" w:cs="仿宋"/>
      <w:lang w:val="zh-CN" w:eastAsia="zh-CN" w:bidi="zh-CN"/>
    </w:rPr>
  </w:style>
  <w:style w:type="paragraph" w:customStyle="1" w:styleId="15">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2024-01-26T03:09:42Z</dcterms:created>
  <dc:creator>Administrator</dc:creator>
  <cp:lastModifiedBy>Administrator</cp:lastModifiedBy>
  <dcterms:modified xsi:type="dcterms:W3CDTF">2024-01-26T03:10:33Z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75CDC81911474EDF980A6A190CAC789B_12</vt:lpwstr>
  </property>
</Properties>
</file>